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6E" w:rsidRPr="00FC53F0" w:rsidRDefault="0071268E" w:rsidP="00136BD0">
      <w:pPr>
        <w:spacing w:line="360" w:lineRule="auto"/>
        <w:jc w:val="center"/>
        <w:rPr>
          <w:rFonts w:ascii="黑体" w:eastAsia="黑体" w:hAnsi="黑体"/>
          <w:sz w:val="28"/>
          <w:szCs w:val="28"/>
        </w:rPr>
      </w:pPr>
      <w:bookmarkStart w:id="0" w:name="_Hlk46050415"/>
      <w:r w:rsidRPr="00FC53F0">
        <w:rPr>
          <w:rFonts w:ascii="黑体" w:eastAsia="黑体" w:hAnsi="黑体" w:hint="eastAsia"/>
          <w:b/>
          <w:bCs/>
          <w:sz w:val="36"/>
          <w:szCs w:val="36"/>
        </w:rPr>
        <w:t>集体建设用地</w:t>
      </w:r>
      <w:r w:rsidRPr="00FC53F0">
        <w:rPr>
          <w:rFonts w:ascii="黑体" w:eastAsia="黑体" w:hAnsi="黑体"/>
          <w:b/>
          <w:bCs/>
          <w:sz w:val="36"/>
          <w:szCs w:val="36"/>
        </w:rPr>
        <w:t>地价评估方法</w:t>
      </w:r>
      <w:r w:rsidRPr="00FC53F0">
        <w:rPr>
          <w:rFonts w:ascii="黑体" w:eastAsia="黑体" w:hAnsi="黑体" w:hint="eastAsia"/>
          <w:b/>
          <w:bCs/>
          <w:sz w:val="36"/>
          <w:szCs w:val="36"/>
        </w:rPr>
        <w:t>研究</w:t>
      </w:r>
      <w:r w:rsidR="00136BD0" w:rsidRPr="00FC53F0">
        <w:rPr>
          <w:rStyle w:val="af6"/>
          <w:rFonts w:ascii="黑体" w:eastAsia="黑体" w:hAnsi="黑体"/>
          <w:b/>
          <w:bCs/>
          <w:sz w:val="32"/>
          <w:szCs w:val="32"/>
        </w:rPr>
        <w:footnoteReference w:id="1"/>
      </w:r>
    </w:p>
    <w:p w:rsidR="00F5516E" w:rsidRPr="00FC53F0" w:rsidRDefault="0071268E" w:rsidP="00136BD0">
      <w:pPr>
        <w:spacing w:line="360" w:lineRule="auto"/>
        <w:jc w:val="center"/>
        <w:rPr>
          <w:rFonts w:ascii="黑体" w:eastAsia="黑体" w:hAnsi="黑体"/>
          <w:sz w:val="30"/>
          <w:szCs w:val="30"/>
        </w:rPr>
      </w:pPr>
      <w:r w:rsidRPr="00FC53F0">
        <w:rPr>
          <w:rFonts w:ascii="黑体" w:eastAsia="黑体" w:hAnsi="黑体" w:hint="eastAsia"/>
          <w:sz w:val="30"/>
          <w:szCs w:val="30"/>
        </w:rPr>
        <w:t>——基于</w:t>
      </w:r>
      <w:r w:rsidR="000F49E7" w:rsidRPr="00FC53F0">
        <w:rPr>
          <w:rFonts w:ascii="黑体" w:eastAsia="黑体" w:hAnsi="黑体" w:hint="eastAsia"/>
          <w:sz w:val="30"/>
          <w:szCs w:val="30"/>
        </w:rPr>
        <w:t>心理账户理论</w:t>
      </w:r>
      <w:r w:rsidRPr="00FC53F0">
        <w:rPr>
          <w:rFonts w:ascii="黑体" w:eastAsia="黑体" w:hAnsi="黑体" w:hint="eastAsia"/>
          <w:sz w:val="30"/>
          <w:szCs w:val="30"/>
        </w:rPr>
        <w:t>的分析</w:t>
      </w:r>
    </w:p>
    <w:p w:rsidR="00F5516E" w:rsidRPr="00FC53F0" w:rsidRDefault="0071268E" w:rsidP="00136BD0">
      <w:pPr>
        <w:spacing w:line="360" w:lineRule="auto"/>
        <w:jc w:val="center"/>
        <w:rPr>
          <w:rFonts w:asciiTheme="minorEastAsia" w:eastAsiaTheme="minorEastAsia" w:hAnsiTheme="minorEastAsia"/>
          <w:sz w:val="21"/>
          <w:szCs w:val="21"/>
        </w:rPr>
      </w:pPr>
      <w:r w:rsidRPr="00FC53F0">
        <w:rPr>
          <w:rFonts w:asciiTheme="minorEastAsia" w:eastAsiaTheme="minorEastAsia" w:hAnsiTheme="minorEastAsia"/>
          <w:sz w:val="21"/>
          <w:szCs w:val="21"/>
        </w:rPr>
        <w:t>庞学珺</w:t>
      </w:r>
      <w:r w:rsidRPr="00FC53F0">
        <w:rPr>
          <w:rFonts w:asciiTheme="minorEastAsia" w:eastAsiaTheme="minorEastAsia" w:hAnsiTheme="minorEastAsia"/>
          <w:sz w:val="21"/>
          <w:szCs w:val="21"/>
          <w:vertAlign w:val="superscript"/>
        </w:rPr>
        <w:t>1</w:t>
      </w:r>
      <w:r w:rsidRPr="00FC53F0">
        <w:rPr>
          <w:rFonts w:asciiTheme="minorEastAsia" w:eastAsiaTheme="minorEastAsia" w:hAnsiTheme="minorEastAsia"/>
          <w:sz w:val="21"/>
          <w:szCs w:val="21"/>
        </w:rPr>
        <w:t>，陈英</w:t>
      </w:r>
      <w:r w:rsidR="00136BD0" w:rsidRPr="00FC53F0">
        <w:rPr>
          <w:rFonts w:asciiTheme="minorEastAsia" w:eastAsiaTheme="minorEastAsia" w:hAnsiTheme="minorEastAsia"/>
          <w:sz w:val="21"/>
          <w:szCs w:val="21"/>
          <w:vertAlign w:val="superscript"/>
        </w:rPr>
        <w:t>1</w:t>
      </w:r>
      <w:r w:rsidRPr="00FC53F0">
        <w:rPr>
          <w:rFonts w:asciiTheme="minorEastAsia" w:eastAsiaTheme="minorEastAsia" w:hAnsiTheme="minorEastAsia"/>
          <w:sz w:val="21"/>
          <w:szCs w:val="21"/>
        </w:rPr>
        <w:t>，</w:t>
      </w:r>
      <w:proofErr w:type="gramStart"/>
      <w:r w:rsidRPr="00FC53F0">
        <w:rPr>
          <w:rFonts w:asciiTheme="minorEastAsia" w:eastAsiaTheme="minorEastAsia" w:hAnsiTheme="minorEastAsia"/>
          <w:sz w:val="21"/>
          <w:szCs w:val="21"/>
        </w:rPr>
        <w:t>谢保鹏</w:t>
      </w:r>
      <w:proofErr w:type="gramEnd"/>
      <w:r w:rsidRPr="00FC53F0">
        <w:rPr>
          <w:rFonts w:asciiTheme="minorEastAsia" w:eastAsiaTheme="minorEastAsia" w:hAnsiTheme="minorEastAsia"/>
          <w:sz w:val="21"/>
          <w:szCs w:val="21"/>
          <w:vertAlign w:val="superscript"/>
        </w:rPr>
        <w:t>1</w:t>
      </w:r>
      <w:r w:rsidRPr="00FC53F0">
        <w:rPr>
          <w:rFonts w:asciiTheme="minorEastAsia" w:eastAsiaTheme="minorEastAsia" w:hAnsiTheme="minorEastAsia"/>
          <w:sz w:val="21"/>
          <w:szCs w:val="21"/>
        </w:rPr>
        <w:t>，吴玮</w:t>
      </w:r>
      <w:r w:rsidRPr="00FC53F0">
        <w:rPr>
          <w:rFonts w:asciiTheme="minorEastAsia" w:eastAsiaTheme="minorEastAsia" w:hAnsiTheme="minorEastAsia"/>
          <w:sz w:val="21"/>
          <w:szCs w:val="21"/>
          <w:vertAlign w:val="superscript"/>
        </w:rPr>
        <w:t>2</w:t>
      </w:r>
      <w:r w:rsidRPr="00FC53F0">
        <w:rPr>
          <w:rFonts w:asciiTheme="minorEastAsia" w:eastAsiaTheme="minorEastAsia" w:hAnsiTheme="minorEastAsia"/>
          <w:sz w:val="21"/>
          <w:szCs w:val="21"/>
        </w:rPr>
        <w:t>，</w:t>
      </w:r>
      <w:proofErr w:type="gramStart"/>
      <w:r w:rsidRPr="00FC53F0">
        <w:rPr>
          <w:rFonts w:asciiTheme="minorEastAsia" w:eastAsiaTheme="minorEastAsia" w:hAnsiTheme="minorEastAsia"/>
          <w:sz w:val="21"/>
          <w:szCs w:val="21"/>
        </w:rPr>
        <w:t>张欢</w:t>
      </w:r>
      <w:proofErr w:type="gramEnd"/>
      <w:r w:rsidRPr="00FC53F0">
        <w:rPr>
          <w:rFonts w:asciiTheme="minorEastAsia" w:eastAsiaTheme="minorEastAsia" w:hAnsiTheme="minorEastAsia"/>
          <w:sz w:val="21"/>
          <w:szCs w:val="21"/>
          <w:vertAlign w:val="superscript"/>
        </w:rPr>
        <w:t>1</w:t>
      </w:r>
    </w:p>
    <w:p w:rsidR="00F5516E" w:rsidRPr="00FC53F0" w:rsidRDefault="0071268E" w:rsidP="00136BD0">
      <w:pPr>
        <w:spacing w:line="360" w:lineRule="auto"/>
        <w:jc w:val="center"/>
        <w:rPr>
          <w:rFonts w:asciiTheme="minorEastAsia" w:eastAsiaTheme="minorEastAsia" w:hAnsiTheme="minorEastAsia"/>
          <w:sz w:val="21"/>
          <w:szCs w:val="21"/>
        </w:rPr>
      </w:pPr>
      <w:r w:rsidRPr="00FC53F0">
        <w:rPr>
          <w:rFonts w:asciiTheme="minorEastAsia" w:eastAsiaTheme="minorEastAsia" w:hAnsiTheme="minorEastAsia"/>
          <w:sz w:val="21"/>
          <w:szCs w:val="21"/>
        </w:rPr>
        <w:t>（1.甘肃农业大学管理学院</w:t>
      </w:r>
      <w:r w:rsidR="00136BD0" w:rsidRPr="00FC53F0">
        <w:rPr>
          <w:rFonts w:asciiTheme="minorEastAsia" w:eastAsiaTheme="minorEastAsia" w:hAnsiTheme="minorEastAsia" w:hint="eastAsia"/>
          <w:sz w:val="21"/>
          <w:szCs w:val="21"/>
        </w:rPr>
        <w:t>，</w:t>
      </w:r>
      <w:r w:rsidRPr="00FC53F0">
        <w:rPr>
          <w:rFonts w:asciiTheme="minorEastAsia" w:eastAsiaTheme="minorEastAsia" w:hAnsiTheme="minorEastAsia"/>
          <w:sz w:val="21"/>
          <w:szCs w:val="21"/>
        </w:rPr>
        <w:t>兰州 730</w:t>
      </w:r>
      <w:bookmarkStart w:id="1" w:name="_GoBack"/>
      <w:bookmarkEnd w:id="1"/>
      <w:r w:rsidRPr="00FC53F0">
        <w:rPr>
          <w:rFonts w:asciiTheme="minorEastAsia" w:eastAsiaTheme="minorEastAsia" w:hAnsiTheme="minorEastAsia"/>
          <w:sz w:val="21"/>
          <w:szCs w:val="21"/>
        </w:rPr>
        <w:t>070；2.兰州市国土资源评价研究院</w:t>
      </w:r>
      <w:r w:rsidR="00136BD0" w:rsidRPr="00FC53F0">
        <w:rPr>
          <w:rFonts w:asciiTheme="minorEastAsia" w:eastAsiaTheme="minorEastAsia" w:hAnsiTheme="minorEastAsia" w:hint="eastAsia"/>
          <w:sz w:val="21"/>
          <w:szCs w:val="21"/>
        </w:rPr>
        <w:t xml:space="preserve">，甘肃 </w:t>
      </w:r>
      <w:r w:rsidRPr="00FC53F0">
        <w:rPr>
          <w:rFonts w:asciiTheme="minorEastAsia" w:eastAsiaTheme="minorEastAsia" w:hAnsiTheme="minorEastAsia"/>
          <w:sz w:val="21"/>
          <w:szCs w:val="21"/>
        </w:rPr>
        <w:t>兰州 730030）</w:t>
      </w:r>
    </w:p>
    <w:p w:rsidR="00F5516E" w:rsidRPr="00FC53F0" w:rsidRDefault="0071268E" w:rsidP="002021E2">
      <w:pPr>
        <w:spacing w:line="360" w:lineRule="auto"/>
        <w:rPr>
          <w:rFonts w:asciiTheme="minorEastAsia" w:eastAsiaTheme="minorEastAsia" w:hAnsiTheme="minorEastAsia"/>
          <w:sz w:val="21"/>
          <w:szCs w:val="21"/>
        </w:rPr>
      </w:pPr>
      <w:r w:rsidRPr="00FC53F0">
        <w:rPr>
          <w:rFonts w:asciiTheme="minorEastAsia" w:eastAsiaTheme="minorEastAsia" w:hAnsiTheme="minorEastAsia"/>
          <w:b/>
          <w:sz w:val="21"/>
          <w:szCs w:val="21"/>
        </w:rPr>
        <w:t>摘要</w:t>
      </w:r>
      <w:r w:rsidR="00767878" w:rsidRPr="00FC53F0">
        <w:rPr>
          <w:rFonts w:asciiTheme="minorEastAsia" w:eastAsiaTheme="minorEastAsia" w:hAnsiTheme="minorEastAsia" w:hint="eastAsia"/>
          <w:b/>
          <w:sz w:val="21"/>
          <w:szCs w:val="21"/>
        </w:rPr>
        <w:t>：</w:t>
      </w:r>
      <w:r w:rsidR="003A6C77" w:rsidRPr="00FC53F0">
        <w:rPr>
          <w:rFonts w:asciiTheme="minorEastAsia" w:eastAsiaTheme="minorEastAsia" w:hAnsiTheme="minorEastAsia" w:hint="eastAsia"/>
          <w:sz w:val="21"/>
          <w:szCs w:val="21"/>
        </w:rPr>
        <w:t>文章</w:t>
      </w:r>
      <w:r w:rsidRPr="00FC53F0">
        <w:rPr>
          <w:rFonts w:asciiTheme="minorEastAsia" w:eastAsiaTheme="minorEastAsia" w:hAnsiTheme="minorEastAsia" w:hint="eastAsia"/>
          <w:sz w:val="21"/>
          <w:szCs w:val="21"/>
        </w:rPr>
        <w:t>针对现有的地价评</w:t>
      </w:r>
      <w:r w:rsidR="000F49E7" w:rsidRPr="00FC53F0">
        <w:rPr>
          <w:rFonts w:asciiTheme="minorEastAsia" w:eastAsiaTheme="minorEastAsia" w:hAnsiTheme="minorEastAsia" w:hint="eastAsia"/>
          <w:sz w:val="21"/>
          <w:szCs w:val="21"/>
        </w:rPr>
        <w:t>估方法不能完全适用于集体建设用地地价评估这一情况，运用心理</w:t>
      </w:r>
      <w:r w:rsidRPr="00FC53F0">
        <w:rPr>
          <w:rFonts w:asciiTheme="minorEastAsia" w:eastAsiaTheme="minorEastAsia" w:hAnsiTheme="minorEastAsia" w:hint="eastAsia"/>
          <w:sz w:val="21"/>
          <w:szCs w:val="21"/>
        </w:rPr>
        <w:t>账户理论，提</w:t>
      </w:r>
      <w:r w:rsidRPr="00FC53F0">
        <w:rPr>
          <w:rFonts w:asciiTheme="minorEastAsia" w:eastAsiaTheme="minorEastAsia" w:hAnsiTheme="minorEastAsia"/>
          <w:sz w:val="21"/>
          <w:szCs w:val="21"/>
        </w:rPr>
        <w:t>出</w:t>
      </w:r>
      <w:r w:rsidRPr="00FC53F0">
        <w:rPr>
          <w:rFonts w:asciiTheme="minorEastAsia" w:eastAsiaTheme="minorEastAsia" w:hAnsiTheme="minorEastAsia" w:hint="eastAsia"/>
          <w:sz w:val="21"/>
          <w:szCs w:val="21"/>
        </w:rPr>
        <w:t>了</w:t>
      </w:r>
      <w:r w:rsidRPr="00FC53F0">
        <w:rPr>
          <w:rFonts w:asciiTheme="minorEastAsia" w:eastAsiaTheme="minorEastAsia" w:hAnsiTheme="minorEastAsia"/>
          <w:sz w:val="21"/>
          <w:szCs w:val="21"/>
        </w:rPr>
        <w:t>一种</w:t>
      </w:r>
      <w:r w:rsidRPr="00FC53F0">
        <w:rPr>
          <w:rFonts w:asciiTheme="minorEastAsia" w:eastAsiaTheme="minorEastAsia" w:hAnsiTheme="minorEastAsia" w:hint="eastAsia"/>
          <w:sz w:val="21"/>
          <w:szCs w:val="21"/>
        </w:rPr>
        <w:t>专门用于集体建设用地地价的评估方法</w:t>
      </w:r>
      <w:r w:rsidRPr="00FC53F0">
        <w:rPr>
          <w:rFonts w:asciiTheme="minorEastAsia" w:eastAsiaTheme="minorEastAsia" w:hAnsiTheme="minorEastAsia"/>
          <w:sz w:val="21"/>
          <w:szCs w:val="21"/>
        </w:rPr>
        <w:t>。</w:t>
      </w:r>
      <w:r w:rsidR="00FB2657" w:rsidRPr="00FC53F0">
        <w:rPr>
          <w:rFonts w:asciiTheme="minorEastAsia" w:eastAsiaTheme="minorEastAsia" w:hAnsiTheme="minorEastAsia" w:hint="eastAsia"/>
          <w:sz w:val="21"/>
          <w:szCs w:val="21"/>
        </w:rPr>
        <w:t>研究和验证包括</w:t>
      </w:r>
      <w:r w:rsidRPr="00FC53F0">
        <w:rPr>
          <w:rFonts w:asciiTheme="minorEastAsia" w:eastAsiaTheme="minorEastAsia" w:hAnsiTheme="minorEastAsia"/>
          <w:sz w:val="21"/>
          <w:szCs w:val="21"/>
        </w:rPr>
        <w:t>特尔斐法、</w:t>
      </w:r>
      <w:proofErr w:type="gramStart"/>
      <w:r w:rsidRPr="00FC53F0">
        <w:rPr>
          <w:rFonts w:asciiTheme="minorEastAsia" w:eastAsiaTheme="minorEastAsia" w:hAnsiTheme="minorEastAsia"/>
          <w:sz w:val="21"/>
          <w:szCs w:val="21"/>
        </w:rPr>
        <w:t>熵权法</w:t>
      </w:r>
      <w:proofErr w:type="gramEnd"/>
      <w:r w:rsidRPr="00FC53F0">
        <w:rPr>
          <w:rFonts w:asciiTheme="minorEastAsia" w:eastAsiaTheme="minorEastAsia" w:hAnsiTheme="minorEastAsia"/>
          <w:sz w:val="21"/>
          <w:szCs w:val="21"/>
        </w:rPr>
        <w:t>、</w:t>
      </w:r>
      <w:r w:rsidRPr="00FC53F0">
        <w:rPr>
          <w:rFonts w:asciiTheme="minorEastAsia" w:eastAsiaTheme="minorEastAsia" w:hAnsiTheme="minorEastAsia" w:hint="eastAsia"/>
          <w:sz w:val="21"/>
          <w:szCs w:val="21"/>
        </w:rPr>
        <w:t>模糊综合评价法、</w:t>
      </w:r>
      <w:r w:rsidRPr="00FC53F0">
        <w:rPr>
          <w:rFonts w:asciiTheme="minorEastAsia" w:eastAsiaTheme="minorEastAsia" w:hAnsiTheme="minorEastAsia"/>
          <w:sz w:val="21"/>
          <w:szCs w:val="21"/>
        </w:rPr>
        <w:t>类比法和实证分析法。</w:t>
      </w:r>
      <w:r w:rsidRPr="00FC53F0">
        <w:rPr>
          <w:rFonts w:asciiTheme="minorEastAsia" w:eastAsiaTheme="minorEastAsia" w:hAnsiTheme="minorEastAsia" w:hint="eastAsia"/>
          <w:sz w:val="21"/>
          <w:szCs w:val="21"/>
        </w:rPr>
        <w:t>研究结果：</w:t>
      </w:r>
      <w:r w:rsidRPr="00FC53F0">
        <w:rPr>
          <w:rFonts w:asciiTheme="minorEastAsia" w:eastAsiaTheme="minorEastAsia" w:hAnsiTheme="minorEastAsia"/>
          <w:sz w:val="21"/>
          <w:szCs w:val="21"/>
        </w:rPr>
        <w:t>（1）</w:t>
      </w:r>
      <w:r w:rsidRPr="00FC53F0">
        <w:rPr>
          <w:rFonts w:asciiTheme="minorEastAsia" w:eastAsiaTheme="minorEastAsia" w:hAnsiTheme="minorEastAsia" w:hint="eastAsia"/>
          <w:sz w:val="21"/>
          <w:szCs w:val="21"/>
        </w:rPr>
        <w:t>根据心理预期所选择的权利完整性、交易完善性以及政策</w:t>
      </w:r>
      <w:proofErr w:type="gramStart"/>
      <w:r w:rsidRPr="00FC53F0">
        <w:rPr>
          <w:rFonts w:asciiTheme="minorEastAsia" w:eastAsiaTheme="minorEastAsia" w:hAnsiTheme="minorEastAsia" w:hint="eastAsia"/>
          <w:sz w:val="21"/>
          <w:szCs w:val="21"/>
        </w:rPr>
        <w:t>支持度三方面</w:t>
      </w:r>
      <w:proofErr w:type="gramEnd"/>
      <w:r w:rsidRPr="00FC53F0">
        <w:rPr>
          <w:rFonts w:asciiTheme="minorEastAsia" w:eastAsiaTheme="minorEastAsia" w:hAnsiTheme="minorEastAsia" w:hint="eastAsia"/>
          <w:sz w:val="21"/>
          <w:szCs w:val="21"/>
        </w:rPr>
        <w:t>的指标进行修正的方法，归纳为权能修正法</w:t>
      </w:r>
      <w:r w:rsidR="000F49E7" w:rsidRPr="00FC53F0">
        <w:rPr>
          <w:rFonts w:asciiTheme="minorEastAsia" w:eastAsiaTheme="minorEastAsia" w:hAnsiTheme="minorEastAsia" w:hint="eastAsia"/>
          <w:sz w:val="21"/>
          <w:szCs w:val="21"/>
        </w:rPr>
        <w:t>。</w:t>
      </w:r>
      <w:r w:rsidRPr="00FC53F0">
        <w:rPr>
          <w:rFonts w:asciiTheme="minorEastAsia" w:eastAsiaTheme="minorEastAsia" w:hAnsiTheme="minorEastAsia"/>
          <w:sz w:val="21"/>
          <w:szCs w:val="21"/>
        </w:rPr>
        <w:t>（</w:t>
      </w:r>
      <w:r w:rsidRPr="00FC53F0">
        <w:rPr>
          <w:rFonts w:asciiTheme="minorEastAsia" w:eastAsiaTheme="minorEastAsia" w:hAnsiTheme="minorEastAsia" w:hint="eastAsia"/>
          <w:sz w:val="21"/>
          <w:szCs w:val="21"/>
        </w:rPr>
        <w:t>2</w:t>
      </w:r>
      <w:r w:rsidRPr="00FC53F0">
        <w:rPr>
          <w:rFonts w:asciiTheme="minorEastAsia" w:eastAsiaTheme="minorEastAsia" w:hAnsiTheme="minorEastAsia"/>
          <w:sz w:val="21"/>
          <w:szCs w:val="21"/>
        </w:rPr>
        <w:t>）对皋兰</w:t>
      </w:r>
      <w:proofErr w:type="gramStart"/>
      <w:r w:rsidRPr="00FC53F0">
        <w:rPr>
          <w:rFonts w:asciiTheme="minorEastAsia" w:eastAsiaTheme="minorEastAsia" w:hAnsiTheme="minorEastAsia"/>
          <w:sz w:val="21"/>
          <w:szCs w:val="21"/>
        </w:rPr>
        <w:t>县集体</w:t>
      </w:r>
      <w:proofErr w:type="gramEnd"/>
      <w:r w:rsidRPr="00FC53F0">
        <w:rPr>
          <w:rFonts w:asciiTheme="minorEastAsia" w:eastAsiaTheme="minorEastAsia" w:hAnsiTheme="minorEastAsia"/>
          <w:sz w:val="21"/>
          <w:szCs w:val="21"/>
        </w:rPr>
        <w:t>建设用地进行权利完整性、交易完善性和政策</w:t>
      </w:r>
      <w:proofErr w:type="gramStart"/>
      <w:r w:rsidRPr="00FC53F0">
        <w:rPr>
          <w:rFonts w:asciiTheme="minorEastAsia" w:eastAsiaTheme="minorEastAsia" w:hAnsiTheme="minorEastAsia"/>
          <w:sz w:val="21"/>
          <w:szCs w:val="21"/>
        </w:rPr>
        <w:t>支持度三方面</w:t>
      </w:r>
      <w:proofErr w:type="gramEnd"/>
      <w:r w:rsidRPr="00FC53F0">
        <w:rPr>
          <w:rFonts w:asciiTheme="minorEastAsia" w:eastAsiaTheme="minorEastAsia" w:hAnsiTheme="minorEastAsia"/>
          <w:sz w:val="21"/>
          <w:szCs w:val="21"/>
        </w:rPr>
        <w:t>的修正后，</w:t>
      </w:r>
      <w:r w:rsidRPr="00FC53F0">
        <w:rPr>
          <w:rFonts w:asciiTheme="minorEastAsia" w:eastAsiaTheme="minorEastAsia" w:hAnsiTheme="minorEastAsia" w:hint="eastAsia"/>
          <w:sz w:val="21"/>
          <w:szCs w:val="21"/>
        </w:rPr>
        <w:t>得到</w:t>
      </w:r>
      <w:r w:rsidRPr="00FC53F0">
        <w:rPr>
          <w:rFonts w:asciiTheme="minorEastAsia" w:eastAsiaTheme="minorEastAsia" w:hAnsiTheme="minorEastAsia"/>
          <w:sz w:val="21"/>
          <w:szCs w:val="21"/>
        </w:rPr>
        <w:t>皋兰</w:t>
      </w:r>
      <w:proofErr w:type="gramStart"/>
      <w:r w:rsidRPr="00FC53F0">
        <w:rPr>
          <w:rFonts w:asciiTheme="minorEastAsia" w:eastAsiaTheme="minorEastAsia" w:hAnsiTheme="minorEastAsia"/>
          <w:sz w:val="21"/>
          <w:szCs w:val="21"/>
        </w:rPr>
        <w:t>县集体</w:t>
      </w:r>
      <w:proofErr w:type="gramEnd"/>
      <w:r w:rsidRPr="00FC53F0">
        <w:rPr>
          <w:rFonts w:asciiTheme="minorEastAsia" w:eastAsiaTheme="minorEastAsia" w:hAnsiTheme="minorEastAsia"/>
          <w:sz w:val="21"/>
          <w:szCs w:val="21"/>
        </w:rPr>
        <w:t>建设用地工矿仓储用地权能修正系数为68.61%，集体建设用地商服用地权能修正系数为78.47%</w:t>
      </w:r>
      <w:r w:rsidRPr="00FC53F0">
        <w:rPr>
          <w:rFonts w:asciiTheme="minorEastAsia" w:eastAsiaTheme="minorEastAsia" w:hAnsiTheme="minorEastAsia" w:hint="eastAsia"/>
          <w:sz w:val="21"/>
          <w:szCs w:val="21"/>
        </w:rPr>
        <w:t>。</w:t>
      </w:r>
      <w:r w:rsidRPr="00FC53F0">
        <w:rPr>
          <w:rFonts w:asciiTheme="minorEastAsia" w:eastAsiaTheme="minorEastAsia" w:hAnsiTheme="minorEastAsia"/>
          <w:sz w:val="21"/>
          <w:szCs w:val="21"/>
        </w:rPr>
        <w:t>（</w:t>
      </w:r>
      <w:r w:rsidRPr="00FC53F0">
        <w:rPr>
          <w:rFonts w:asciiTheme="minorEastAsia" w:eastAsiaTheme="minorEastAsia" w:hAnsiTheme="minorEastAsia" w:hint="eastAsia"/>
          <w:sz w:val="21"/>
          <w:szCs w:val="21"/>
        </w:rPr>
        <w:t>3</w:t>
      </w:r>
      <w:r w:rsidRPr="00FC53F0">
        <w:rPr>
          <w:rFonts w:asciiTheme="minorEastAsia" w:eastAsiaTheme="minorEastAsia" w:hAnsiTheme="minorEastAsia"/>
          <w:sz w:val="21"/>
          <w:szCs w:val="21"/>
        </w:rPr>
        <w:t>）</w:t>
      </w:r>
      <w:bookmarkStart w:id="2" w:name="_Hlk47167654"/>
      <w:r w:rsidRPr="00FC53F0">
        <w:rPr>
          <w:rFonts w:asciiTheme="minorEastAsia" w:eastAsiaTheme="minorEastAsia" w:hAnsiTheme="minorEastAsia" w:hint="eastAsia"/>
          <w:sz w:val="21"/>
          <w:szCs w:val="21"/>
        </w:rPr>
        <w:t>运用模糊综合评价法求得该权能修正系数的准确性综合度为“准确”或“较准确”。（4）权能修正法实证计算所得皋兰</w:t>
      </w:r>
      <w:proofErr w:type="gramStart"/>
      <w:r w:rsidRPr="00FC53F0">
        <w:rPr>
          <w:rFonts w:asciiTheme="minorEastAsia" w:eastAsiaTheme="minorEastAsia" w:hAnsiTheme="minorEastAsia" w:hint="eastAsia"/>
          <w:sz w:val="21"/>
          <w:szCs w:val="21"/>
        </w:rPr>
        <w:t>县集体</w:t>
      </w:r>
      <w:proofErr w:type="gramEnd"/>
      <w:r w:rsidRPr="00FC53F0">
        <w:rPr>
          <w:rFonts w:asciiTheme="minorEastAsia" w:eastAsiaTheme="minorEastAsia" w:hAnsiTheme="minorEastAsia" w:hint="eastAsia"/>
          <w:sz w:val="21"/>
          <w:szCs w:val="21"/>
        </w:rPr>
        <w:t>建设用地基准地价与皋兰县自然资源</w:t>
      </w:r>
      <w:proofErr w:type="gramStart"/>
      <w:r w:rsidRPr="00FC53F0">
        <w:rPr>
          <w:rFonts w:asciiTheme="minorEastAsia" w:eastAsiaTheme="minorEastAsia" w:hAnsiTheme="minorEastAsia" w:hint="eastAsia"/>
          <w:sz w:val="21"/>
          <w:szCs w:val="21"/>
        </w:rPr>
        <w:t>局集体</w:t>
      </w:r>
      <w:proofErr w:type="gramEnd"/>
      <w:r w:rsidRPr="00FC53F0">
        <w:rPr>
          <w:rFonts w:asciiTheme="minorEastAsia" w:eastAsiaTheme="minorEastAsia" w:hAnsiTheme="minorEastAsia" w:hint="eastAsia"/>
          <w:sz w:val="21"/>
          <w:szCs w:val="21"/>
        </w:rPr>
        <w:t>建设用地基准地价评估结果基本一致。</w:t>
      </w:r>
      <w:bookmarkEnd w:id="2"/>
      <w:r w:rsidRPr="00FC53F0">
        <w:rPr>
          <w:rFonts w:asciiTheme="minorEastAsia" w:eastAsiaTheme="minorEastAsia" w:hAnsiTheme="minorEastAsia" w:hint="eastAsia"/>
          <w:sz w:val="21"/>
          <w:szCs w:val="21"/>
        </w:rPr>
        <w:t>（5）与现有的地价评估方法相比，此方法具有科学性、易操作性和</w:t>
      </w:r>
      <w:proofErr w:type="gramStart"/>
      <w:r w:rsidRPr="00FC53F0">
        <w:rPr>
          <w:rFonts w:asciiTheme="minorEastAsia" w:eastAsiaTheme="minorEastAsia" w:hAnsiTheme="minorEastAsia" w:hint="eastAsia"/>
          <w:sz w:val="21"/>
          <w:szCs w:val="21"/>
        </w:rPr>
        <w:t>可</w:t>
      </w:r>
      <w:proofErr w:type="gramEnd"/>
      <w:r w:rsidRPr="00FC53F0">
        <w:rPr>
          <w:rFonts w:asciiTheme="minorEastAsia" w:eastAsiaTheme="minorEastAsia" w:hAnsiTheme="minorEastAsia" w:hint="eastAsia"/>
          <w:sz w:val="21"/>
          <w:szCs w:val="21"/>
        </w:rPr>
        <w:t>推广性的优点。研究结论：</w:t>
      </w:r>
      <w:r w:rsidRPr="00FC53F0">
        <w:rPr>
          <w:rFonts w:asciiTheme="minorEastAsia" w:eastAsiaTheme="minorEastAsia" w:hAnsiTheme="minorEastAsia"/>
          <w:sz w:val="21"/>
          <w:szCs w:val="21"/>
        </w:rPr>
        <w:t>权能修正法</w:t>
      </w:r>
      <w:r w:rsidRPr="00FC53F0">
        <w:rPr>
          <w:rFonts w:asciiTheme="minorEastAsia" w:eastAsiaTheme="minorEastAsia" w:hAnsiTheme="minorEastAsia" w:hint="eastAsia"/>
          <w:sz w:val="21"/>
          <w:szCs w:val="21"/>
        </w:rPr>
        <w:t>符合基本的经济理论，具有科学性，技术上</w:t>
      </w:r>
      <w:r w:rsidRPr="00FC53F0">
        <w:rPr>
          <w:rFonts w:asciiTheme="minorEastAsia" w:eastAsiaTheme="minorEastAsia" w:hAnsiTheme="minorEastAsia"/>
          <w:sz w:val="21"/>
          <w:szCs w:val="21"/>
        </w:rPr>
        <w:t>也可</w:t>
      </w:r>
      <w:r w:rsidRPr="00FC53F0">
        <w:rPr>
          <w:rFonts w:asciiTheme="minorEastAsia" w:eastAsiaTheme="minorEastAsia" w:hAnsiTheme="minorEastAsia" w:hint="eastAsia"/>
          <w:sz w:val="21"/>
          <w:szCs w:val="21"/>
        </w:rPr>
        <w:t>运用到</w:t>
      </w:r>
      <w:r w:rsidRPr="00FC53F0">
        <w:rPr>
          <w:rFonts w:asciiTheme="minorEastAsia" w:eastAsiaTheme="minorEastAsia" w:hAnsiTheme="minorEastAsia"/>
          <w:sz w:val="21"/>
          <w:szCs w:val="21"/>
        </w:rPr>
        <w:t>集体建设用地基准地价评估</w:t>
      </w:r>
      <w:r w:rsidRPr="00FC53F0">
        <w:rPr>
          <w:rFonts w:asciiTheme="minorEastAsia" w:eastAsiaTheme="minorEastAsia" w:hAnsiTheme="minorEastAsia" w:hint="eastAsia"/>
          <w:sz w:val="21"/>
          <w:szCs w:val="21"/>
        </w:rPr>
        <w:t>中</w:t>
      </w:r>
      <w:r w:rsidRPr="00FC53F0">
        <w:rPr>
          <w:rFonts w:asciiTheme="minorEastAsia" w:eastAsiaTheme="minorEastAsia" w:hAnsiTheme="minorEastAsia"/>
          <w:sz w:val="21"/>
          <w:szCs w:val="21"/>
        </w:rPr>
        <w:t>。</w:t>
      </w:r>
    </w:p>
    <w:p w:rsidR="00F5516E" w:rsidRPr="00FC53F0" w:rsidRDefault="0071268E" w:rsidP="002021E2">
      <w:pPr>
        <w:spacing w:line="360" w:lineRule="auto"/>
        <w:rPr>
          <w:rFonts w:asciiTheme="minorEastAsia" w:eastAsiaTheme="minorEastAsia" w:hAnsiTheme="minorEastAsia"/>
          <w:sz w:val="21"/>
          <w:szCs w:val="21"/>
        </w:rPr>
      </w:pPr>
      <w:r w:rsidRPr="00FC53F0">
        <w:rPr>
          <w:rFonts w:asciiTheme="minorEastAsia" w:eastAsiaTheme="minorEastAsia" w:hAnsiTheme="minorEastAsia"/>
          <w:b/>
          <w:sz w:val="21"/>
          <w:szCs w:val="21"/>
        </w:rPr>
        <w:t>关键词</w:t>
      </w:r>
      <w:r w:rsidR="00767878" w:rsidRPr="00FC53F0">
        <w:rPr>
          <w:rFonts w:asciiTheme="minorEastAsia" w:eastAsiaTheme="minorEastAsia" w:hAnsiTheme="minorEastAsia" w:hint="eastAsia"/>
          <w:b/>
          <w:sz w:val="21"/>
          <w:szCs w:val="21"/>
        </w:rPr>
        <w:t>：</w:t>
      </w:r>
      <w:r w:rsidRPr="00FC53F0">
        <w:rPr>
          <w:rFonts w:asciiTheme="minorEastAsia" w:eastAsiaTheme="minorEastAsia" w:hAnsiTheme="minorEastAsia"/>
          <w:sz w:val="21"/>
          <w:szCs w:val="21"/>
        </w:rPr>
        <w:t>集体建设用地</w:t>
      </w:r>
      <w:r w:rsidR="00767878" w:rsidRPr="00FC53F0">
        <w:rPr>
          <w:rFonts w:asciiTheme="minorEastAsia" w:eastAsiaTheme="minorEastAsia" w:hAnsiTheme="minorEastAsia" w:hint="eastAsia"/>
          <w:sz w:val="21"/>
          <w:szCs w:val="21"/>
        </w:rPr>
        <w:t>；</w:t>
      </w:r>
      <w:r w:rsidRPr="00FC53F0">
        <w:rPr>
          <w:rFonts w:asciiTheme="minorEastAsia" w:eastAsiaTheme="minorEastAsia" w:hAnsiTheme="minorEastAsia"/>
          <w:sz w:val="21"/>
          <w:szCs w:val="21"/>
        </w:rPr>
        <w:t>基准地价</w:t>
      </w:r>
      <w:r w:rsidR="00767878" w:rsidRPr="00FC53F0">
        <w:rPr>
          <w:rFonts w:asciiTheme="minorEastAsia" w:eastAsiaTheme="minorEastAsia" w:hAnsiTheme="minorEastAsia" w:hint="eastAsia"/>
          <w:sz w:val="21"/>
          <w:szCs w:val="21"/>
        </w:rPr>
        <w:t>；</w:t>
      </w:r>
      <w:r w:rsidRPr="00FC53F0">
        <w:rPr>
          <w:rFonts w:asciiTheme="minorEastAsia" w:eastAsiaTheme="minorEastAsia" w:hAnsiTheme="minorEastAsia"/>
          <w:sz w:val="21"/>
          <w:szCs w:val="21"/>
        </w:rPr>
        <w:t>权能修正法</w:t>
      </w:r>
      <w:r w:rsidR="00767878" w:rsidRPr="00FC53F0">
        <w:rPr>
          <w:rFonts w:asciiTheme="minorEastAsia" w:eastAsiaTheme="minorEastAsia" w:hAnsiTheme="minorEastAsia" w:hint="eastAsia"/>
          <w:sz w:val="21"/>
          <w:szCs w:val="21"/>
        </w:rPr>
        <w:t>；</w:t>
      </w:r>
      <w:r w:rsidRPr="00FC53F0">
        <w:rPr>
          <w:rFonts w:asciiTheme="minorEastAsia" w:eastAsiaTheme="minorEastAsia" w:hAnsiTheme="minorEastAsia"/>
          <w:sz w:val="21"/>
          <w:szCs w:val="21"/>
        </w:rPr>
        <w:t>评估</w:t>
      </w:r>
      <w:r w:rsidR="00767878" w:rsidRPr="00FC53F0">
        <w:rPr>
          <w:rFonts w:asciiTheme="minorEastAsia" w:eastAsiaTheme="minorEastAsia" w:hAnsiTheme="minorEastAsia" w:hint="eastAsia"/>
          <w:sz w:val="21"/>
          <w:szCs w:val="21"/>
        </w:rPr>
        <w:t>；</w:t>
      </w:r>
      <w:r w:rsidRPr="00FC53F0">
        <w:rPr>
          <w:rFonts w:asciiTheme="minorEastAsia" w:eastAsiaTheme="minorEastAsia" w:hAnsiTheme="minorEastAsia"/>
          <w:sz w:val="21"/>
          <w:szCs w:val="21"/>
        </w:rPr>
        <w:t xml:space="preserve">皋兰县  </w:t>
      </w:r>
    </w:p>
    <w:p w:rsidR="00835C74" w:rsidRPr="00FC53F0" w:rsidRDefault="00835C74" w:rsidP="002021E2">
      <w:pPr>
        <w:spacing w:line="360" w:lineRule="auto"/>
        <w:rPr>
          <w:rFonts w:asciiTheme="minorEastAsia" w:eastAsiaTheme="minorEastAsia" w:hAnsiTheme="minorEastAsia"/>
          <w:b/>
          <w:sz w:val="21"/>
          <w:szCs w:val="21"/>
        </w:rPr>
      </w:pPr>
      <w:r w:rsidRPr="00FC53F0">
        <w:rPr>
          <w:rFonts w:asciiTheme="minorEastAsia" w:eastAsiaTheme="minorEastAsia" w:hAnsiTheme="minorEastAsia" w:hint="eastAsia"/>
          <w:b/>
          <w:bCs/>
          <w:sz w:val="21"/>
          <w:szCs w:val="21"/>
        </w:rPr>
        <w:t>中图分类号</w:t>
      </w:r>
      <w:r w:rsidRPr="00FC53F0">
        <w:rPr>
          <w:rFonts w:asciiTheme="minorEastAsia" w:eastAsiaTheme="minorEastAsia" w:hAnsiTheme="minorEastAsia" w:hint="eastAsia"/>
          <w:b/>
          <w:sz w:val="21"/>
          <w:szCs w:val="21"/>
        </w:rPr>
        <w:t>：</w:t>
      </w:r>
      <w:r w:rsidR="00FB2657" w:rsidRPr="00FC53F0">
        <w:rPr>
          <w:rFonts w:asciiTheme="minorEastAsia" w:eastAsiaTheme="minorEastAsia" w:hAnsiTheme="minorEastAsia"/>
          <w:sz w:val="21"/>
          <w:szCs w:val="21"/>
        </w:rPr>
        <w:t xml:space="preserve"> </w:t>
      </w:r>
      <w:r w:rsidRPr="00FC53F0">
        <w:rPr>
          <w:rFonts w:asciiTheme="minorEastAsia" w:eastAsiaTheme="minorEastAsia" w:hAnsiTheme="minorEastAsia"/>
          <w:sz w:val="21"/>
          <w:szCs w:val="21"/>
        </w:rPr>
        <w:t>F062.1</w:t>
      </w:r>
      <w:r w:rsidR="00FB2657" w:rsidRPr="00FC53F0">
        <w:rPr>
          <w:rFonts w:asciiTheme="minorEastAsia" w:eastAsiaTheme="minorEastAsia" w:hAnsiTheme="minorEastAsia" w:hint="eastAsia"/>
          <w:sz w:val="21"/>
          <w:szCs w:val="21"/>
        </w:rPr>
        <w:t>；F</w:t>
      </w:r>
      <w:r w:rsidR="00FB2657" w:rsidRPr="00FC53F0">
        <w:rPr>
          <w:rFonts w:asciiTheme="minorEastAsia" w:eastAsiaTheme="minorEastAsia" w:hAnsiTheme="minorEastAsia"/>
          <w:sz w:val="21"/>
          <w:szCs w:val="21"/>
        </w:rPr>
        <w:t>301.4</w:t>
      </w:r>
      <w:r w:rsidRPr="00FC53F0">
        <w:rPr>
          <w:rFonts w:asciiTheme="minorEastAsia" w:eastAsiaTheme="minorEastAsia" w:hAnsiTheme="minorEastAsia"/>
          <w:b/>
          <w:sz w:val="21"/>
          <w:szCs w:val="21"/>
        </w:rPr>
        <w:t xml:space="preserve">   文献标识码：</w:t>
      </w:r>
      <w:r w:rsidRPr="00FC53F0">
        <w:rPr>
          <w:rFonts w:asciiTheme="minorEastAsia" w:eastAsiaTheme="minorEastAsia" w:hAnsiTheme="minorEastAsia"/>
          <w:sz w:val="21"/>
          <w:szCs w:val="21"/>
        </w:rPr>
        <w:t>A</w:t>
      </w:r>
      <w:r w:rsidRPr="00FC53F0">
        <w:rPr>
          <w:rFonts w:asciiTheme="minorEastAsia" w:eastAsiaTheme="minorEastAsia" w:hAnsiTheme="minorEastAsia"/>
          <w:b/>
          <w:sz w:val="21"/>
          <w:szCs w:val="21"/>
        </w:rPr>
        <w:t xml:space="preserve">   文章编号：1672-6995（2021）1</w:t>
      </w:r>
      <w:r w:rsidRPr="00FC53F0">
        <w:rPr>
          <w:rFonts w:asciiTheme="minorEastAsia" w:eastAsiaTheme="minorEastAsia" w:hAnsiTheme="minorEastAsia" w:hint="eastAsia"/>
          <w:b/>
          <w:sz w:val="21"/>
          <w:szCs w:val="21"/>
        </w:rPr>
        <w:t>2</w:t>
      </w:r>
      <w:r w:rsidRPr="00FC53F0">
        <w:rPr>
          <w:rFonts w:asciiTheme="minorEastAsia" w:eastAsiaTheme="minorEastAsia" w:hAnsiTheme="minorEastAsia"/>
          <w:b/>
          <w:sz w:val="21"/>
          <w:szCs w:val="21"/>
        </w:rPr>
        <w:t>-0000-00</w:t>
      </w:r>
    </w:p>
    <w:p w:rsidR="00F5516E" w:rsidRPr="00FC53F0" w:rsidRDefault="00835C74" w:rsidP="002021E2">
      <w:pPr>
        <w:spacing w:after="240" w:line="360" w:lineRule="auto"/>
        <w:rPr>
          <w:rFonts w:asciiTheme="minorEastAsia" w:eastAsiaTheme="minorEastAsia" w:hAnsiTheme="minorEastAsia"/>
          <w:sz w:val="21"/>
          <w:szCs w:val="21"/>
        </w:rPr>
      </w:pPr>
      <w:r w:rsidRPr="00FC53F0">
        <w:rPr>
          <w:rFonts w:asciiTheme="minorEastAsia" w:eastAsiaTheme="minorEastAsia" w:hAnsiTheme="minorEastAsia"/>
          <w:b/>
          <w:sz w:val="21"/>
          <w:szCs w:val="21"/>
        </w:rPr>
        <w:t>DOI：</w:t>
      </w:r>
      <w:r w:rsidRPr="00FC53F0">
        <w:rPr>
          <w:rFonts w:asciiTheme="minorEastAsia" w:eastAsiaTheme="minorEastAsia" w:hAnsiTheme="minorEastAsia"/>
          <w:sz w:val="21"/>
          <w:szCs w:val="21"/>
        </w:rPr>
        <w:t>10.19676/j.cnki.1672-6995.00056</w:t>
      </w:r>
      <w:r w:rsidRPr="00FC53F0">
        <w:rPr>
          <w:rFonts w:asciiTheme="minorEastAsia" w:eastAsiaTheme="minorEastAsia" w:hAnsiTheme="minorEastAsia" w:hint="eastAsia"/>
          <w:sz w:val="21"/>
          <w:szCs w:val="21"/>
        </w:rPr>
        <w:t>5</w:t>
      </w:r>
    </w:p>
    <w:p w:rsidR="00882346" w:rsidRPr="00FC53F0" w:rsidRDefault="00882346" w:rsidP="00882346">
      <w:pPr>
        <w:jc w:val="center"/>
        <w:outlineLvl w:val="0"/>
        <w:rPr>
          <w:rFonts w:ascii="Times New Roman" w:eastAsiaTheme="minorEastAsia" w:hAnsi="Times New Roman"/>
          <w:b/>
          <w:sz w:val="21"/>
          <w:szCs w:val="21"/>
        </w:rPr>
      </w:pPr>
      <w:r w:rsidRPr="00FC53F0">
        <w:rPr>
          <w:rFonts w:ascii="Times New Roman" w:eastAsiaTheme="minorEastAsia" w:hAnsi="Times New Roman" w:hint="eastAsia"/>
          <w:b/>
          <w:sz w:val="21"/>
          <w:szCs w:val="21"/>
        </w:rPr>
        <w:t>Research on Land Price Evaluation Method of Collective Construction Land</w:t>
      </w:r>
    </w:p>
    <w:p w:rsidR="00882346" w:rsidRPr="00FC53F0" w:rsidRDefault="00882346" w:rsidP="00882346">
      <w:pPr>
        <w:jc w:val="center"/>
        <w:outlineLvl w:val="0"/>
        <w:rPr>
          <w:rFonts w:ascii="Times New Roman" w:eastAsiaTheme="minorEastAsia" w:hAnsi="Times New Roman"/>
          <w:b/>
          <w:sz w:val="21"/>
          <w:szCs w:val="21"/>
        </w:rPr>
      </w:pPr>
      <w:r w:rsidRPr="00FC53F0">
        <w:rPr>
          <w:rFonts w:ascii="Times New Roman" w:eastAsiaTheme="minorEastAsia" w:hAnsi="Times New Roman" w:hint="eastAsia"/>
          <w:b/>
          <w:sz w:val="21"/>
          <w:szCs w:val="21"/>
        </w:rPr>
        <w:t>——</w:t>
      </w:r>
      <w:r w:rsidRPr="00FC53F0">
        <w:rPr>
          <w:rFonts w:ascii="Times New Roman" w:eastAsiaTheme="minorEastAsia" w:hAnsi="Times New Roman" w:hint="eastAsia"/>
          <w:b/>
          <w:sz w:val="21"/>
          <w:szCs w:val="21"/>
        </w:rPr>
        <w:t>Analysis Based on Mental Accounting Theory</w:t>
      </w:r>
    </w:p>
    <w:p w:rsidR="00882346" w:rsidRPr="00FC53F0" w:rsidRDefault="00882346" w:rsidP="00882346">
      <w:pPr>
        <w:jc w:val="center"/>
        <w:rPr>
          <w:rFonts w:ascii="Times New Roman" w:eastAsiaTheme="minorEastAsia" w:hAnsi="Times New Roman"/>
          <w:sz w:val="21"/>
          <w:szCs w:val="21"/>
        </w:rPr>
      </w:pPr>
      <w:r w:rsidRPr="00FC53F0">
        <w:rPr>
          <w:rFonts w:ascii="Times New Roman" w:eastAsiaTheme="minorEastAsia" w:hAnsi="Times New Roman" w:hint="eastAsia"/>
          <w:sz w:val="21"/>
          <w:szCs w:val="21"/>
        </w:rPr>
        <w:t>PANG Xuejun</w:t>
      </w:r>
      <w:r w:rsidRPr="00FC53F0">
        <w:rPr>
          <w:rFonts w:ascii="Times New Roman" w:eastAsiaTheme="minorEastAsia" w:hAnsi="Times New Roman" w:hint="eastAsia"/>
          <w:sz w:val="21"/>
          <w:szCs w:val="21"/>
          <w:vertAlign w:val="superscript"/>
        </w:rPr>
        <w:t>1</w:t>
      </w:r>
      <w:r w:rsidRPr="00FC53F0">
        <w:rPr>
          <w:rFonts w:ascii="Times New Roman" w:eastAsiaTheme="minorEastAsia" w:hAnsi="Times New Roman" w:hint="eastAsia"/>
          <w:sz w:val="21"/>
          <w:szCs w:val="21"/>
        </w:rPr>
        <w:t>, CHEN Ying</w:t>
      </w:r>
      <w:r w:rsidRPr="00FC53F0">
        <w:rPr>
          <w:rFonts w:ascii="Times New Roman" w:eastAsiaTheme="minorEastAsia" w:hAnsi="Times New Roman" w:hint="eastAsia"/>
          <w:sz w:val="21"/>
          <w:szCs w:val="21"/>
          <w:vertAlign w:val="superscript"/>
        </w:rPr>
        <w:t>1</w:t>
      </w:r>
      <w:r w:rsidRPr="00FC53F0">
        <w:rPr>
          <w:rFonts w:ascii="Times New Roman" w:eastAsiaTheme="minorEastAsia" w:hAnsi="Times New Roman" w:hint="eastAsia"/>
          <w:sz w:val="21"/>
          <w:szCs w:val="21"/>
        </w:rPr>
        <w:t>, XIE Baopeng</w:t>
      </w:r>
      <w:r w:rsidRPr="00FC53F0">
        <w:rPr>
          <w:rFonts w:ascii="Times New Roman" w:eastAsiaTheme="minorEastAsia" w:hAnsi="Times New Roman" w:hint="eastAsia"/>
          <w:sz w:val="21"/>
          <w:szCs w:val="21"/>
          <w:vertAlign w:val="superscript"/>
        </w:rPr>
        <w:t>1</w:t>
      </w:r>
      <w:r w:rsidRPr="00FC53F0">
        <w:rPr>
          <w:rFonts w:ascii="Times New Roman" w:eastAsiaTheme="minorEastAsia" w:hAnsi="Times New Roman" w:hint="eastAsia"/>
          <w:sz w:val="21"/>
          <w:szCs w:val="21"/>
        </w:rPr>
        <w:t>, WU Wei</w:t>
      </w:r>
      <w:r w:rsidRPr="00FC53F0">
        <w:rPr>
          <w:rFonts w:ascii="Times New Roman" w:eastAsiaTheme="minorEastAsia" w:hAnsi="Times New Roman" w:hint="eastAsia"/>
          <w:sz w:val="21"/>
          <w:szCs w:val="21"/>
          <w:vertAlign w:val="superscript"/>
        </w:rPr>
        <w:t>2</w:t>
      </w:r>
      <w:r w:rsidRPr="00FC53F0">
        <w:rPr>
          <w:rFonts w:ascii="Times New Roman" w:eastAsiaTheme="minorEastAsia" w:hAnsi="Times New Roman" w:hint="eastAsia"/>
          <w:sz w:val="21"/>
          <w:szCs w:val="21"/>
        </w:rPr>
        <w:t>, ZHANG Huan</w:t>
      </w:r>
      <w:r w:rsidRPr="00FC53F0">
        <w:rPr>
          <w:rFonts w:ascii="Times New Roman" w:eastAsiaTheme="minorEastAsia" w:hAnsi="Times New Roman" w:hint="eastAsia"/>
          <w:sz w:val="21"/>
          <w:szCs w:val="21"/>
          <w:vertAlign w:val="superscript"/>
        </w:rPr>
        <w:t>1</w:t>
      </w:r>
    </w:p>
    <w:p w:rsidR="00882346" w:rsidRPr="00FC53F0" w:rsidRDefault="00882346" w:rsidP="00882346">
      <w:pPr>
        <w:jc w:val="center"/>
        <w:rPr>
          <w:rFonts w:ascii="Times New Roman" w:eastAsiaTheme="minorEastAsia" w:hAnsi="Times New Roman"/>
          <w:sz w:val="21"/>
          <w:szCs w:val="21"/>
        </w:rPr>
      </w:pPr>
      <w:r w:rsidRPr="00FC53F0">
        <w:rPr>
          <w:rFonts w:ascii="Times New Roman" w:eastAsiaTheme="minorEastAsia" w:hAnsi="Times New Roman" w:hint="eastAsia"/>
          <w:sz w:val="21"/>
          <w:szCs w:val="21"/>
        </w:rPr>
        <w:t>(1. School of Management, Gansu Agricultural University, Lanzhou 730070, China; 2. Lanzhou Land and Resources Evaluation Research Institute, Lanzhou, Gansu 730030, China)</w:t>
      </w:r>
    </w:p>
    <w:p w:rsidR="00882346" w:rsidRPr="00FC53F0" w:rsidRDefault="00882346" w:rsidP="00882346">
      <w:pPr>
        <w:rPr>
          <w:rFonts w:ascii="Times New Roman" w:eastAsiaTheme="minorEastAsia" w:hAnsi="Times New Roman"/>
          <w:sz w:val="21"/>
          <w:szCs w:val="21"/>
        </w:rPr>
      </w:pPr>
      <w:r w:rsidRPr="00FC53F0">
        <w:rPr>
          <w:rFonts w:ascii="Times New Roman" w:eastAsiaTheme="minorEastAsia" w:hAnsi="Times New Roman" w:hint="eastAsia"/>
          <w:b/>
          <w:bCs/>
          <w:sz w:val="21"/>
          <w:szCs w:val="21"/>
        </w:rPr>
        <w:lastRenderedPageBreak/>
        <w:t>Abstract:</w:t>
      </w:r>
      <w:r w:rsidRPr="00FC53F0">
        <w:rPr>
          <w:rFonts w:ascii="Times New Roman" w:eastAsiaTheme="minorEastAsia" w:hAnsi="Times New Roman" w:hint="eastAsia"/>
          <w:sz w:val="21"/>
          <w:szCs w:val="21"/>
        </w:rPr>
        <w:t xml:space="preserve"> Aiming at the situation that the existing land price evaluation methods are not fully applicable to the land price evaluation of collective construction land, this article uses the mental accounting theory to propose a special evaluation method for the land price of collective construction land. The research and verification methods include Delphi method, entropy method, fuzzy comprehensive evaluation method, analogy method and empirical analysis method. The research results are as follows: (1) The method of correcting the three indicators of right integrity, transaction perfection and policy support selected by psychological expectations is summarized as the power and ability correction method. (2) After revising the collective construction land in </w:t>
      </w:r>
      <w:proofErr w:type="spellStart"/>
      <w:r w:rsidRPr="00FC53F0">
        <w:rPr>
          <w:rFonts w:ascii="Times New Roman" w:eastAsiaTheme="minorEastAsia" w:hAnsi="Times New Roman" w:hint="eastAsia"/>
          <w:sz w:val="21"/>
          <w:szCs w:val="21"/>
        </w:rPr>
        <w:t>Gaolan</w:t>
      </w:r>
      <w:proofErr w:type="spellEnd"/>
      <w:r w:rsidRPr="00FC53F0">
        <w:rPr>
          <w:rFonts w:ascii="Times New Roman" w:eastAsiaTheme="minorEastAsia" w:hAnsi="Times New Roman" w:hint="eastAsia"/>
          <w:sz w:val="21"/>
          <w:szCs w:val="21"/>
        </w:rPr>
        <w:t xml:space="preserve"> County in terms of rights integrity, transaction perfection and policy support, it is obtained that the power and ability correction coefficient of collective construction land for industrial and mining storage of </w:t>
      </w:r>
      <w:proofErr w:type="spellStart"/>
      <w:r w:rsidRPr="00FC53F0">
        <w:rPr>
          <w:rFonts w:ascii="Times New Roman" w:eastAsiaTheme="minorEastAsia" w:hAnsi="Times New Roman" w:hint="eastAsia"/>
          <w:sz w:val="21"/>
          <w:szCs w:val="21"/>
        </w:rPr>
        <w:t>Gaolan</w:t>
      </w:r>
      <w:proofErr w:type="spellEnd"/>
      <w:r w:rsidRPr="00FC53F0">
        <w:rPr>
          <w:rFonts w:ascii="Times New Roman" w:eastAsiaTheme="minorEastAsia" w:hAnsi="Times New Roman" w:hint="eastAsia"/>
          <w:sz w:val="21"/>
          <w:szCs w:val="21"/>
        </w:rPr>
        <w:t xml:space="preserve"> County is 68.61%, while, the power and ability correction coefficient of collective construction land for business use is 78.47%. (3) Using the fuzzy comprehensive evaluation method, the accuracy of the power and ability correction method is "accurate" or "relatively accurate". (4) The benchmark land price of collective construction land in </w:t>
      </w:r>
      <w:proofErr w:type="spellStart"/>
      <w:r w:rsidRPr="00FC53F0">
        <w:rPr>
          <w:rFonts w:ascii="Times New Roman" w:eastAsiaTheme="minorEastAsia" w:hAnsi="Times New Roman" w:hint="eastAsia"/>
          <w:sz w:val="21"/>
          <w:szCs w:val="21"/>
        </w:rPr>
        <w:t>Gaolan</w:t>
      </w:r>
      <w:proofErr w:type="spellEnd"/>
      <w:r w:rsidRPr="00FC53F0">
        <w:rPr>
          <w:rFonts w:ascii="Times New Roman" w:eastAsiaTheme="minorEastAsia" w:hAnsi="Times New Roman" w:hint="eastAsia"/>
          <w:sz w:val="21"/>
          <w:szCs w:val="21"/>
        </w:rPr>
        <w:t xml:space="preserve"> County calculated by the empirical calculation of the power and ability correction method is basically consistent with the assessment result of the benchmark land price of collective construction land in </w:t>
      </w:r>
      <w:proofErr w:type="spellStart"/>
      <w:r w:rsidRPr="00FC53F0">
        <w:rPr>
          <w:rFonts w:ascii="Times New Roman" w:eastAsiaTheme="minorEastAsia" w:hAnsi="Times New Roman" w:hint="eastAsia"/>
          <w:sz w:val="21"/>
          <w:szCs w:val="21"/>
        </w:rPr>
        <w:t>Gaolan</w:t>
      </w:r>
      <w:proofErr w:type="spellEnd"/>
      <w:r w:rsidRPr="00FC53F0">
        <w:rPr>
          <w:rFonts w:ascii="Times New Roman" w:eastAsiaTheme="minorEastAsia" w:hAnsi="Times New Roman" w:hint="eastAsia"/>
          <w:sz w:val="21"/>
          <w:szCs w:val="21"/>
        </w:rPr>
        <w:t xml:space="preserve"> Natural Resources Bureau. (5) Compared with the existing land price evaluation method, the power and ability correction method is scientific, easy to operate and can be generalized. The research results show that the power and ability correction method in line with the basic economic theory, it is scientific, and can also be applied to the benchmark land price evaluation of collective construction land technically.</w:t>
      </w:r>
    </w:p>
    <w:p w:rsidR="00882346" w:rsidRPr="00FC53F0" w:rsidRDefault="00882346" w:rsidP="00882346">
      <w:pPr>
        <w:jc w:val="left"/>
        <w:rPr>
          <w:rFonts w:ascii="Times New Roman" w:eastAsiaTheme="minorEastAsia" w:hAnsi="Times New Roman"/>
          <w:sz w:val="21"/>
          <w:szCs w:val="21"/>
        </w:rPr>
      </w:pPr>
      <w:r w:rsidRPr="00FC53F0">
        <w:rPr>
          <w:rFonts w:ascii="Times New Roman" w:eastAsiaTheme="minorEastAsia" w:hAnsi="Times New Roman" w:hint="eastAsia"/>
          <w:b/>
          <w:bCs/>
          <w:sz w:val="21"/>
          <w:szCs w:val="21"/>
        </w:rPr>
        <w:t>Keywords:</w:t>
      </w:r>
      <w:r w:rsidRPr="00FC53F0">
        <w:rPr>
          <w:rFonts w:ascii="Times New Roman" w:eastAsiaTheme="minorEastAsia" w:hAnsi="Times New Roman" w:hint="eastAsia"/>
          <w:sz w:val="21"/>
          <w:szCs w:val="21"/>
        </w:rPr>
        <w:t xml:space="preserve"> collective construction land; benchmark land price; power and ability correction method; evaluation; </w:t>
      </w:r>
      <w:proofErr w:type="spellStart"/>
      <w:r w:rsidRPr="00FC53F0">
        <w:rPr>
          <w:rFonts w:ascii="Times New Roman" w:eastAsiaTheme="minorEastAsia" w:hAnsi="Times New Roman" w:hint="eastAsia"/>
          <w:sz w:val="21"/>
          <w:szCs w:val="21"/>
        </w:rPr>
        <w:t>Gaolan</w:t>
      </w:r>
      <w:proofErr w:type="spellEnd"/>
      <w:r w:rsidRPr="00FC53F0">
        <w:rPr>
          <w:rFonts w:ascii="Times New Roman" w:eastAsiaTheme="minorEastAsia" w:hAnsi="Times New Roman" w:hint="eastAsia"/>
          <w:sz w:val="21"/>
          <w:szCs w:val="21"/>
        </w:rPr>
        <w:t xml:space="preserve"> County</w:t>
      </w:r>
    </w:p>
    <w:p w:rsidR="00F5516E" w:rsidRPr="00FC53F0" w:rsidRDefault="0071268E" w:rsidP="002021E2">
      <w:pPr>
        <w:spacing w:line="360" w:lineRule="auto"/>
        <w:rPr>
          <w:rFonts w:asciiTheme="minorEastAsia" w:eastAsiaTheme="minorEastAsia" w:hAnsiTheme="minorEastAsia"/>
          <w:b/>
          <w:bCs/>
          <w:sz w:val="28"/>
          <w:szCs w:val="28"/>
          <w:shd w:val="clear" w:color="auto" w:fill="FFFFFF"/>
        </w:rPr>
      </w:pPr>
      <w:r w:rsidRPr="00FC53F0">
        <w:rPr>
          <w:rFonts w:asciiTheme="minorEastAsia" w:eastAsiaTheme="minorEastAsia" w:hAnsiTheme="minorEastAsia"/>
          <w:b/>
          <w:bCs/>
          <w:sz w:val="28"/>
          <w:szCs w:val="28"/>
          <w:shd w:val="clear" w:color="auto" w:fill="FFFFFF"/>
        </w:rPr>
        <w:t>0 引言</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2020年1月1</w:t>
      </w:r>
      <w:r w:rsidR="00FB2657" w:rsidRPr="00FC53F0">
        <w:rPr>
          <w:rFonts w:asciiTheme="minorEastAsia" w:eastAsiaTheme="minorEastAsia" w:hAnsiTheme="minorEastAsia"/>
          <w:sz w:val="21"/>
          <w:szCs w:val="21"/>
          <w:shd w:val="clear" w:color="auto" w:fill="FFFFFF"/>
        </w:rPr>
        <w:t>日起实施的</w:t>
      </w:r>
      <w:r w:rsidR="00FB2657" w:rsidRPr="00FC53F0">
        <w:rPr>
          <w:rFonts w:asciiTheme="minorEastAsia" w:eastAsiaTheme="minorEastAsia" w:hAnsiTheme="minorEastAsia" w:hint="eastAsia"/>
          <w:sz w:val="21"/>
          <w:szCs w:val="21"/>
          <w:shd w:val="clear" w:color="auto" w:fill="FFFFFF"/>
        </w:rPr>
        <w:t>新修正的</w:t>
      </w:r>
      <w:r w:rsidR="00FB2657" w:rsidRPr="00FC53F0">
        <w:rPr>
          <w:rFonts w:asciiTheme="minorEastAsia" w:eastAsiaTheme="minorEastAsia" w:hAnsiTheme="minorEastAsia"/>
          <w:sz w:val="21"/>
          <w:szCs w:val="21"/>
          <w:shd w:val="clear" w:color="auto" w:fill="FFFFFF"/>
        </w:rPr>
        <w:t>《土地管理法》</w:t>
      </w:r>
      <w:r w:rsidRPr="00FC53F0">
        <w:rPr>
          <w:rFonts w:asciiTheme="minorEastAsia" w:eastAsiaTheme="minorEastAsia" w:hAnsiTheme="minorEastAsia"/>
          <w:sz w:val="21"/>
          <w:szCs w:val="21"/>
          <w:shd w:val="clear" w:color="auto" w:fill="FFFFFF"/>
        </w:rPr>
        <w:t>，</w:t>
      </w:r>
      <w:r w:rsidR="000F49E7" w:rsidRPr="00FC53F0">
        <w:rPr>
          <w:rFonts w:asciiTheme="minorEastAsia" w:eastAsiaTheme="minorEastAsia" w:hAnsiTheme="minorEastAsia" w:hint="eastAsia"/>
          <w:sz w:val="21"/>
          <w:szCs w:val="21"/>
          <w:shd w:val="clear" w:color="auto" w:fill="FFFFFF"/>
        </w:rPr>
        <w:t>是</w:t>
      </w:r>
      <w:r w:rsidRPr="00FC53F0">
        <w:rPr>
          <w:rFonts w:asciiTheme="minorEastAsia" w:eastAsiaTheme="minorEastAsia" w:hAnsiTheme="minorEastAsia"/>
          <w:sz w:val="21"/>
          <w:szCs w:val="21"/>
          <w:shd w:val="clear" w:color="auto" w:fill="FFFFFF"/>
        </w:rPr>
        <w:t>我国在建立城乡统一的建设用地市场方面</w:t>
      </w:r>
      <w:r w:rsidR="000F49E7" w:rsidRPr="00FC53F0">
        <w:rPr>
          <w:rFonts w:asciiTheme="minorEastAsia" w:eastAsiaTheme="minorEastAsia" w:hAnsiTheme="minorEastAsia"/>
          <w:sz w:val="21"/>
          <w:szCs w:val="21"/>
          <w:shd w:val="clear" w:color="auto" w:fill="FFFFFF"/>
        </w:rPr>
        <w:t>迈</w:t>
      </w:r>
      <w:r w:rsidR="00FB2657" w:rsidRPr="00FC53F0">
        <w:rPr>
          <w:rFonts w:asciiTheme="minorEastAsia" w:eastAsiaTheme="minorEastAsia" w:hAnsiTheme="minorEastAsia"/>
          <w:sz w:val="21"/>
          <w:szCs w:val="21"/>
          <w:shd w:val="clear" w:color="auto" w:fill="FFFFFF"/>
        </w:rPr>
        <w:t>出</w:t>
      </w:r>
      <w:r w:rsidR="00FB2657" w:rsidRPr="00FC53F0">
        <w:rPr>
          <w:rFonts w:asciiTheme="minorEastAsia" w:eastAsiaTheme="minorEastAsia" w:hAnsiTheme="minorEastAsia" w:hint="eastAsia"/>
          <w:sz w:val="21"/>
          <w:szCs w:val="21"/>
          <w:shd w:val="clear" w:color="auto" w:fill="FFFFFF"/>
        </w:rPr>
        <w:t>的</w:t>
      </w:r>
      <w:r w:rsidR="00FB2657" w:rsidRPr="00FC53F0">
        <w:rPr>
          <w:rFonts w:asciiTheme="minorEastAsia" w:eastAsiaTheme="minorEastAsia" w:hAnsiTheme="minorEastAsia"/>
          <w:sz w:val="21"/>
          <w:szCs w:val="21"/>
          <w:shd w:val="clear" w:color="auto" w:fill="FFFFFF"/>
        </w:rPr>
        <w:t>关键</w:t>
      </w:r>
      <w:r w:rsidR="000F49E7" w:rsidRPr="00FC53F0">
        <w:rPr>
          <w:rFonts w:asciiTheme="minorEastAsia" w:eastAsiaTheme="minorEastAsia" w:hAnsiTheme="minorEastAsia"/>
          <w:sz w:val="21"/>
          <w:szCs w:val="21"/>
          <w:shd w:val="clear" w:color="auto" w:fill="FFFFFF"/>
        </w:rPr>
        <w:t>一步</w:t>
      </w:r>
      <w:r w:rsidR="00FB2657" w:rsidRPr="00FC53F0">
        <w:rPr>
          <w:rFonts w:asciiTheme="minorEastAsia" w:eastAsiaTheme="minorEastAsia" w:hAnsiTheme="minorEastAsia" w:hint="eastAsia"/>
          <w:sz w:val="21"/>
          <w:szCs w:val="21"/>
          <w:shd w:val="clear" w:color="auto" w:fill="FFFFFF"/>
        </w:rPr>
        <w:t>。新修正的《土地管理法》</w:t>
      </w:r>
      <w:r w:rsidR="000F49E7" w:rsidRPr="00FC53F0">
        <w:rPr>
          <w:rFonts w:asciiTheme="minorEastAsia" w:eastAsiaTheme="minorEastAsia" w:hAnsiTheme="minorEastAsia"/>
          <w:sz w:val="21"/>
          <w:szCs w:val="21"/>
          <w:shd w:val="clear" w:color="auto" w:fill="FFFFFF"/>
        </w:rPr>
        <w:t>重点聚焦</w:t>
      </w:r>
      <w:r w:rsidRPr="00FC53F0">
        <w:rPr>
          <w:rFonts w:asciiTheme="minorEastAsia" w:eastAsiaTheme="minorEastAsia" w:hAnsiTheme="minorEastAsia"/>
          <w:sz w:val="21"/>
          <w:szCs w:val="21"/>
          <w:shd w:val="clear" w:color="auto" w:fill="FFFFFF"/>
        </w:rPr>
        <w:t>农村土地制度改革，其中对集体建设用地的改革</w:t>
      </w:r>
      <w:r w:rsidR="00FB2657" w:rsidRPr="00FC53F0">
        <w:rPr>
          <w:rFonts w:asciiTheme="minorEastAsia" w:eastAsiaTheme="minorEastAsia" w:hAnsiTheme="minorEastAsia" w:hint="eastAsia"/>
          <w:sz w:val="21"/>
          <w:szCs w:val="21"/>
          <w:shd w:val="clear" w:color="auto" w:fill="FFFFFF"/>
        </w:rPr>
        <w:t>是</w:t>
      </w:r>
      <w:r w:rsidRPr="00FC53F0">
        <w:rPr>
          <w:rFonts w:asciiTheme="minorEastAsia" w:eastAsiaTheme="minorEastAsia" w:hAnsiTheme="minorEastAsia"/>
          <w:sz w:val="21"/>
          <w:szCs w:val="21"/>
          <w:shd w:val="clear" w:color="auto" w:fill="FFFFFF"/>
        </w:rPr>
        <w:t>一大亮点</w:t>
      </w:r>
      <w:r w:rsidRPr="00FC53F0">
        <w:rPr>
          <w:rFonts w:asciiTheme="minorEastAsia" w:eastAsiaTheme="minorEastAsia" w:hAnsiTheme="minorEastAsia"/>
          <w:sz w:val="21"/>
          <w:szCs w:val="21"/>
          <w:shd w:val="clear" w:color="auto" w:fill="FFFFFF"/>
          <w:vertAlign w:val="superscript"/>
        </w:rPr>
        <w:t>[1]</w:t>
      </w:r>
      <w:r w:rsidR="000F49E7" w:rsidRPr="00FC53F0">
        <w:rPr>
          <w:rFonts w:asciiTheme="minorEastAsia" w:eastAsiaTheme="minorEastAsia" w:hAnsiTheme="minorEastAsia"/>
          <w:sz w:val="21"/>
          <w:szCs w:val="21"/>
          <w:shd w:val="clear" w:color="auto" w:fill="FFFFFF"/>
        </w:rPr>
        <w:t>。随着我国</w:t>
      </w:r>
      <w:r w:rsidR="00FB2657" w:rsidRPr="00FC53F0">
        <w:rPr>
          <w:rFonts w:asciiTheme="minorEastAsia" w:eastAsiaTheme="minorEastAsia" w:hAnsiTheme="minorEastAsia" w:hint="eastAsia"/>
          <w:sz w:val="21"/>
          <w:szCs w:val="21"/>
          <w:shd w:val="clear" w:color="auto" w:fill="FFFFFF"/>
        </w:rPr>
        <w:t>关于</w:t>
      </w:r>
      <w:r w:rsidRPr="00FC53F0">
        <w:rPr>
          <w:rFonts w:asciiTheme="minorEastAsia" w:eastAsiaTheme="minorEastAsia" w:hAnsiTheme="minorEastAsia"/>
          <w:sz w:val="21"/>
          <w:szCs w:val="21"/>
          <w:shd w:val="clear" w:color="auto" w:fill="FFFFFF"/>
        </w:rPr>
        <w:t>集体建设用地的相关政策法规的逐步落实</w:t>
      </w:r>
      <w:r w:rsidR="000F49E7"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sz w:val="21"/>
          <w:szCs w:val="21"/>
          <w:shd w:val="clear" w:color="auto" w:fill="FFFFFF"/>
        </w:rPr>
        <w:t>以及集体经营性建设用地市场的发展完善，对于集体建设用地基准地价的研究就显得尤为重要和紧迫。相较</w:t>
      </w:r>
      <w:r w:rsidR="00FB2657" w:rsidRPr="00FC53F0">
        <w:rPr>
          <w:rFonts w:asciiTheme="minorEastAsia" w:eastAsiaTheme="minorEastAsia" w:hAnsiTheme="minorEastAsia" w:hint="eastAsia"/>
          <w:sz w:val="21"/>
          <w:szCs w:val="21"/>
          <w:shd w:val="clear" w:color="auto" w:fill="FFFFFF"/>
        </w:rPr>
        <w:t>于</w:t>
      </w:r>
      <w:r w:rsidRPr="00FC53F0">
        <w:rPr>
          <w:rFonts w:asciiTheme="minorEastAsia" w:eastAsiaTheme="minorEastAsia" w:hAnsiTheme="minorEastAsia"/>
          <w:sz w:val="21"/>
          <w:szCs w:val="21"/>
          <w:shd w:val="clear" w:color="auto" w:fill="FFFFFF"/>
        </w:rPr>
        <w:t>国有建设用地基准地价评估方法，集体建设用地基准地价的评估方法</w:t>
      </w:r>
      <w:r w:rsidR="000F49E7" w:rsidRPr="00FC53F0">
        <w:rPr>
          <w:rFonts w:asciiTheme="minorEastAsia" w:eastAsiaTheme="minorEastAsia" w:hAnsiTheme="minorEastAsia" w:hint="eastAsia"/>
          <w:sz w:val="21"/>
          <w:szCs w:val="21"/>
          <w:shd w:val="clear" w:color="auto" w:fill="FFFFFF"/>
        </w:rPr>
        <w:t>尚</w:t>
      </w:r>
      <w:r w:rsidRPr="00FC53F0">
        <w:rPr>
          <w:rFonts w:asciiTheme="minorEastAsia" w:eastAsiaTheme="minorEastAsia" w:hAnsiTheme="minorEastAsia"/>
          <w:sz w:val="21"/>
          <w:szCs w:val="21"/>
          <w:shd w:val="clear" w:color="auto" w:fill="FFFFFF"/>
        </w:rPr>
        <w:t>无统一的体系，有待</w:t>
      </w:r>
      <w:r w:rsidR="000F49E7" w:rsidRPr="00FC53F0">
        <w:rPr>
          <w:rFonts w:asciiTheme="minorEastAsia" w:eastAsiaTheme="minorEastAsia" w:hAnsiTheme="minorEastAsia" w:hint="eastAsia"/>
          <w:sz w:val="21"/>
          <w:szCs w:val="21"/>
          <w:shd w:val="clear" w:color="auto" w:fill="FFFFFF"/>
        </w:rPr>
        <w:t>探索与完善</w:t>
      </w:r>
      <w:r w:rsidRPr="00FC53F0">
        <w:rPr>
          <w:rFonts w:asciiTheme="minorEastAsia" w:eastAsiaTheme="minorEastAsia" w:hAnsiTheme="minorEastAsia"/>
          <w:sz w:val="21"/>
          <w:szCs w:val="21"/>
          <w:shd w:val="clear" w:color="auto" w:fill="FFFFFF"/>
        </w:rPr>
        <w:t>。</w:t>
      </w:r>
    </w:p>
    <w:p w:rsidR="00F5516E" w:rsidRPr="00FC53F0" w:rsidRDefault="000F49E7"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近年来，对</w:t>
      </w:r>
      <w:r w:rsidR="0071268E" w:rsidRPr="00FC53F0">
        <w:rPr>
          <w:rFonts w:asciiTheme="minorEastAsia" w:eastAsiaTheme="minorEastAsia" w:hAnsiTheme="minorEastAsia"/>
          <w:sz w:val="21"/>
          <w:szCs w:val="21"/>
          <w:shd w:val="clear" w:color="auto" w:fill="FFFFFF"/>
        </w:rPr>
        <w:t>集体建设用地基准地价评估方法的研究层出不穷，一些学者将集体建设用地基准地价与土地定级结合起来分析，通过建立相关修正体系，采用成本逼近法和剩余法评估集体建设用地基准地价</w:t>
      </w:r>
      <w:r w:rsidR="0071268E" w:rsidRPr="00FC53F0">
        <w:rPr>
          <w:rFonts w:asciiTheme="minorEastAsia" w:eastAsiaTheme="minorEastAsia" w:hAnsiTheme="minorEastAsia"/>
          <w:sz w:val="21"/>
          <w:szCs w:val="21"/>
          <w:shd w:val="clear" w:color="auto" w:fill="FFFFFF"/>
          <w:vertAlign w:val="superscript"/>
        </w:rPr>
        <w:t>[2-11]</w:t>
      </w:r>
      <w:r w:rsidRPr="00FC53F0">
        <w:rPr>
          <w:rFonts w:asciiTheme="minorEastAsia" w:eastAsiaTheme="minorEastAsia" w:hAnsiTheme="minorEastAsia" w:hint="eastAsia"/>
          <w:sz w:val="21"/>
          <w:szCs w:val="21"/>
          <w:shd w:val="clear" w:color="auto" w:fill="FFFFFF"/>
        </w:rPr>
        <w:t>；</w:t>
      </w:r>
      <w:r w:rsidR="0071268E" w:rsidRPr="00FC53F0">
        <w:rPr>
          <w:rFonts w:asciiTheme="minorEastAsia" w:eastAsiaTheme="minorEastAsia" w:hAnsiTheme="minorEastAsia"/>
          <w:sz w:val="21"/>
          <w:szCs w:val="21"/>
          <w:shd w:val="clear" w:color="auto" w:fill="FFFFFF"/>
        </w:rPr>
        <w:t>另有学者将土地产能和产权价值纳入集体建设用地基准地价的评估中，采用成本法来测算基准地价</w:t>
      </w:r>
      <w:r w:rsidR="0071268E" w:rsidRPr="00FC53F0">
        <w:rPr>
          <w:rFonts w:asciiTheme="minorEastAsia" w:eastAsiaTheme="minorEastAsia" w:hAnsiTheme="minorEastAsia"/>
          <w:sz w:val="21"/>
          <w:szCs w:val="21"/>
          <w:shd w:val="clear" w:color="auto" w:fill="FFFFFF"/>
          <w:vertAlign w:val="superscript"/>
        </w:rPr>
        <w:t>[12-17]</w:t>
      </w:r>
      <w:r w:rsidR="0071268E" w:rsidRPr="00FC53F0">
        <w:rPr>
          <w:rFonts w:asciiTheme="minorEastAsia" w:eastAsiaTheme="minorEastAsia" w:hAnsiTheme="minorEastAsia"/>
          <w:sz w:val="21"/>
          <w:szCs w:val="21"/>
          <w:shd w:val="clear" w:color="auto" w:fill="FFFFFF"/>
        </w:rPr>
        <w:t>；还有一些学者采用样本地价修正法和农业倍数法对集体建设用地进行评估</w:t>
      </w:r>
      <w:r w:rsidR="0071268E" w:rsidRPr="00FC53F0">
        <w:rPr>
          <w:rFonts w:asciiTheme="minorEastAsia" w:eastAsiaTheme="minorEastAsia" w:hAnsiTheme="minorEastAsia"/>
          <w:sz w:val="21"/>
          <w:szCs w:val="21"/>
          <w:shd w:val="clear" w:color="auto" w:fill="FFFFFF"/>
          <w:vertAlign w:val="superscript"/>
        </w:rPr>
        <w:t>[</w:t>
      </w:r>
      <w:r w:rsidR="003A6C77" w:rsidRPr="00FC53F0">
        <w:rPr>
          <w:rFonts w:asciiTheme="minorEastAsia" w:eastAsiaTheme="minorEastAsia" w:hAnsiTheme="minorEastAsia"/>
          <w:sz w:val="21"/>
          <w:szCs w:val="21"/>
          <w:shd w:val="clear" w:color="auto" w:fill="FFFFFF"/>
          <w:vertAlign w:val="superscript"/>
        </w:rPr>
        <w:t>10-11</w:t>
      </w:r>
      <w:r w:rsidR="003A6C77" w:rsidRPr="00FC53F0">
        <w:rPr>
          <w:rFonts w:asciiTheme="minorEastAsia" w:eastAsiaTheme="minorEastAsia" w:hAnsiTheme="minorEastAsia" w:hint="eastAsia"/>
          <w:sz w:val="21"/>
          <w:szCs w:val="21"/>
          <w:shd w:val="clear" w:color="auto" w:fill="FFFFFF"/>
          <w:vertAlign w:val="superscript"/>
        </w:rPr>
        <w:t>,</w:t>
      </w:r>
      <w:r w:rsidR="003A6C77" w:rsidRPr="00FC53F0">
        <w:rPr>
          <w:rFonts w:asciiTheme="minorEastAsia" w:eastAsiaTheme="minorEastAsia" w:hAnsiTheme="minorEastAsia"/>
          <w:sz w:val="21"/>
          <w:szCs w:val="21"/>
          <w:shd w:val="clear" w:color="auto" w:fill="FFFFFF"/>
          <w:vertAlign w:val="superscript"/>
        </w:rPr>
        <w:t>18</w:t>
      </w:r>
      <w:r w:rsidR="0071268E" w:rsidRPr="00FC53F0">
        <w:rPr>
          <w:rFonts w:asciiTheme="minorEastAsia" w:eastAsiaTheme="minorEastAsia" w:hAnsiTheme="minorEastAsia"/>
          <w:sz w:val="21"/>
          <w:szCs w:val="21"/>
          <w:shd w:val="clear" w:color="auto" w:fill="FFFFFF"/>
          <w:vertAlign w:val="superscript"/>
        </w:rPr>
        <w:t>]</w:t>
      </w:r>
      <w:r w:rsidR="0071268E" w:rsidRPr="00FC53F0">
        <w:rPr>
          <w:rFonts w:asciiTheme="minorEastAsia" w:eastAsiaTheme="minorEastAsia" w:hAnsiTheme="minorEastAsia"/>
          <w:sz w:val="21"/>
          <w:szCs w:val="21"/>
          <w:shd w:val="clear" w:color="auto" w:fill="FFFFFF"/>
        </w:rPr>
        <w:t>。</w:t>
      </w:r>
      <w:r w:rsidR="00FB2657" w:rsidRPr="00FC53F0">
        <w:rPr>
          <w:rFonts w:asciiTheme="minorEastAsia" w:eastAsiaTheme="minorEastAsia" w:hAnsiTheme="minorEastAsia" w:hint="eastAsia"/>
          <w:sz w:val="21"/>
          <w:szCs w:val="21"/>
          <w:shd w:val="clear" w:color="auto" w:fill="FFFFFF"/>
        </w:rPr>
        <w:t>如</w:t>
      </w:r>
      <w:r w:rsidR="0071268E" w:rsidRPr="00FC53F0">
        <w:rPr>
          <w:rFonts w:asciiTheme="minorEastAsia" w:eastAsiaTheme="minorEastAsia" w:hAnsiTheme="minorEastAsia"/>
          <w:sz w:val="21"/>
          <w:szCs w:val="21"/>
          <w:shd w:val="clear" w:color="auto" w:fill="FFFFFF"/>
        </w:rPr>
        <w:t>单胜道和蔡国平总结了市场比较法、收益还原法、成本法、剩余法以及基准地价系数修正法在土地评估中的运用范围</w:t>
      </w:r>
      <w:r w:rsidR="0071268E" w:rsidRPr="00FC53F0">
        <w:rPr>
          <w:rFonts w:asciiTheme="minorEastAsia" w:eastAsiaTheme="minorEastAsia" w:hAnsiTheme="minorEastAsia"/>
          <w:sz w:val="21"/>
          <w:szCs w:val="21"/>
          <w:shd w:val="clear" w:color="auto" w:fill="FFFFFF"/>
          <w:vertAlign w:val="superscript"/>
        </w:rPr>
        <w:t>[19]</w:t>
      </w:r>
      <w:r w:rsidR="0071268E" w:rsidRPr="00FC53F0">
        <w:rPr>
          <w:rFonts w:asciiTheme="minorEastAsia" w:eastAsiaTheme="minorEastAsia" w:hAnsiTheme="minorEastAsia"/>
          <w:sz w:val="21"/>
          <w:szCs w:val="21"/>
          <w:shd w:val="clear" w:color="auto" w:fill="FFFFFF"/>
        </w:rPr>
        <w:t>。尽管如此，对于集体建设用地基准地价的评估方法仍然处于探索阶段</w:t>
      </w:r>
      <w:r w:rsidR="0071268E" w:rsidRPr="00FC53F0">
        <w:rPr>
          <w:rFonts w:asciiTheme="minorEastAsia" w:eastAsiaTheme="minorEastAsia" w:hAnsiTheme="minorEastAsia"/>
          <w:sz w:val="21"/>
          <w:szCs w:val="21"/>
          <w:shd w:val="clear" w:color="auto" w:fill="FFFFFF"/>
          <w:vertAlign w:val="superscript"/>
        </w:rPr>
        <w:t>[20-21]</w:t>
      </w:r>
      <w:r w:rsidR="0071268E" w:rsidRPr="00FC53F0">
        <w:rPr>
          <w:rFonts w:asciiTheme="minorEastAsia" w:eastAsiaTheme="minorEastAsia" w:hAnsiTheme="minorEastAsia"/>
          <w:sz w:val="21"/>
          <w:szCs w:val="21"/>
          <w:shd w:val="clear" w:color="auto" w:fill="FFFFFF"/>
        </w:rPr>
        <w:t>，尚未形成统一的集体建设用地基准地价的</w:t>
      </w:r>
      <w:r w:rsidR="0071268E" w:rsidRPr="00FC53F0">
        <w:rPr>
          <w:rFonts w:asciiTheme="minorEastAsia" w:eastAsiaTheme="minorEastAsia" w:hAnsiTheme="minorEastAsia"/>
          <w:sz w:val="21"/>
          <w:szCs w:val="21"/>
          <w:shd w:val="clear" w:color="auto" w:fill="FFFFFF"/>
        </w:rPr>
        <w:lastRenderedPageBreak/>
        <w:t>评估方法体系。与此同时，一些学者在研究扩大集体建设用地产权结构开放性方面提出了</w:t>
      </w:r>
      <w:r w:rsidR="00FB2657" w:rsidRPr="00FC53F0">
        <w:rPr>
          <w:rFonts w:asciiTheme="minorEastAsia" w:eastAsiaTheme="minorEastAsia" w:hAnsiTheme="minorEastAsia" w:hint="eastAsia"/>
          <w:sz w:val="21"/>
          <w:szCs w:val="21"/>
          <w:shd w:val="clear" w:color="auto" w:fill="FFFFFF"/>
        </w:rPr>
        <w:t>诸多</w:t>
      </w:r>
      <w:r w:rsidR="0071268E" w:rsidRPr="00FC53F0">
        <w:rPr>
          <w:rFonts w:asciiTheme="minorEastAsia" w:eastAsiaTheme="minorEastAsia" w:hAnsiTheme="minorEastAsia"/>
          <w:sz w:val="21"/>
          <w:szCs w:val="21"/>
          <w:shd w:val="clear" w:color="auto" w:fill="FFFFFF"/>
        </w:rPr>
        <w:t>改革措施，但改革中集体建设用地在其产权权能上受到了诸多限制</w:t>
      </w:r>
      <w:r w:rsidR="0071268E" w:rsidRPr="00FC53F0">
        <w:rPr>
          <w:rFonts w:asciiTheme="minorEastAsia" w:eastAsiaTheme="minorEastAsia" w:hAnsiTheme="minorEastAsia"/>
          <w:sz w:val="21"/>
          <w:szCs w:val="21"/>
          <w:shd w:val="clear" w:color="auto" w:fill="FFFFFF"/>
          <w:vertAlign w:val="superscript"/>
        </w:rPr>
        <w:t>[22-23]</w:t>
      </w:r>
      <w:r w:rsidR="00FB2657" w:rsidRPr="00FC53F0">
        <w:rPr>
          <w:rFonts w:asciiTheme="minorEastAsia" w:eastAsiaTheme="minorEastAsia" w:hAnsiTheme="minorEastAsia"/>
          <w:sz w:val="21"/>
          <w:szCs w:val="21"/>
          <w:shd w:val="clear" w:color="auto" w:fill="FFFFFF"/>
        </w:rPr>
        <w:t>，</w:t>
      </w:r>
      <w:proofErr w:type="gramStart"/>
      <w:r w:rsidR="00FB2657" w:rsidRPr="00FC53F0">
        <w:rPr>
          <w:rFonts w:asciiTheme="minorEastAsia" w:eastAsiaTheme="minorEastAsia" w:hAnsiTheme="minorEastAsia"/>
          <w:sz w:val="21"/>
          <w:szCs w:val="21"/>
          <w:shd w:val="clear" w:color="auto" w:fill="FFFFFF"/>
        </w:rPr>
        <w:t>如</w:t>
      </w:r>
      <w:r w:rsidR="00FB2657" w:rsidRPr="00FC53F0">
        <w:rPr>
          <w:rFonts w:asciiTheme="minorEastAsia" w:eastAsiaTheme="minorEastAsia" w:hAnsiTheme="minorEastAsia" w:hint="eastAsia"/>
          <w:sz w:val="21"/>
          <w:szCs w:val="21"/>
          <w:shd w:val="clear" w:color="auto" w:fill="FFFFFF"/>
        </w:rPr>
        <w:t>尚</w:t>
      </w:r>
      <w:r w:rsidR="00FB2657" w:rsidRPr="00FC53F0">
        <w:rPr>
          <w:rFonts w:asciiTheme="minorEastAsia" w:eastAsiaTheme="minorEastAsia" w:hAnsiTheme="minorEastAsia"/>
          <w:sz w:val="21"/>
          <w:szCs w:val="21"/>
          <w:shd w:val="clear" w:color="auto" w:fill="FFFFFF"/>
        </w:rPr>
        <w:t>不能</w:t>
      </w:r>
      <w:proofErr w:type="gramEnd"/>
      <w:r w:rsidR="00FB2657" w:rsidRPr="00FC53F0">
        <w:rPr>
          <w:rFonts w:asciiTheme="minorEastAsia" w:eastAsiaTheme="minorEastAsia" w:hAnsiTheme="minorEastAsia"/>
          <w:sz w:val="21"/>
          <w:szCs w:val="21"/>
          <w:shd w:val="clear" w:color="auto" w:fill="FFFFFF"/>
        </w:rPr>
        <w:t>和国有建设用地</w:t>
      </w:r>
      <w:r w:rsidR="0071268E" w:rsidRPr="00FC53F0">
        <w:rPr>
          <w:rFonts w:asciiTheme="minorEastAsia" w:eastAsiaTheme="minorEastAsia" w:hAnsiTheme="minorEastAsia"/>
          <w:sz w:val="21"/>
          <w:szCs w:val="21"/>
          <w:shd w:val="clear" w:color="auto" w:fill="FFFFFF"/>
        </w:rPr>
        <w:t>同等入市等。到目前为止，我国集体建设用地基准地价在评估过程中面临诸多问题，如缺乏估价规程、相关法律配套不完善、分布较为零散、市场资料缺乏和难以收集等。</w:t>
      </w:r>
    </w:p>
    <w:p w:rsidR="00F5516E" w:rsidRPr="00FC53F0" w:rsidRDefault="000F49E7"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综上所述，对于集体建设用地基准地价的评估</w:t>
      </w:r>
      <w:r w:rsidR="0071268E" w:rsidRPr="00FC53F0">
        <w:rPr>
          <w:rFonts w:asciiTheme="minorEastAsia" w:eastAsiaTheme="minorEastAsia" w:hAnsiTheme="minorEastAsia"/>
          <w:sz w:val="21"/>
          <w:szCs w:val="21"/>
          <w:shd w:val="clear" w:color="auto" w:fill="FFFFFF"/>
        </w:rPr>
        <w:t>，大多数地区沿用了国有建设用地基准地价的评估方法，但集体建设用地在</w:t>
      </w:r>
      <w:r w:rsidRPr="00FC53F0">
        <w:rPr>
          <w:rFonts w:asciiTheme="minorEastAsia" w:eastAsiaTheme="minorEastAsia" w:hAnsiTheme="minorEastAsia"/>
          <w:sz w:val="21"/>
          <w:szCs w:val="21"/>
          <w:shd w:val="clear" w:color="auto" w:fill="FFFFFF"/>
        </w:rPr>
        <w:t>权属条件、区位条件、所有权主体以及价格构成等方面与国有建设用地</w:t>
      </w:r>
      <w:r w:rsidR="0071268E" w:rsidRPr="00FC53F0">
        <w:rPr>
          <w:rFonts w:asciiTheme="minorEastAsia" w:eastAsiaTheme="minorEastAsia" w:hAnsiTheme="minorEastAsia"/>
          <w:sz w:val="21"/>
          <w:szCs w:val="21"/>
          <w:shd w:val="clear" w:color="auto" w:fill="FFFFFF"/>
        </w:rPr>
        <w:t>存在着较大差异</w:t>
      </w:r>
      <w:r w:rsidR="0071268E" w:rsidRPr="00FC53F0">
        <w:rPr>
          <w:rFonts w:asciiTheme="minorEastAsia" w:eastAsiaTheme="minorEastAsia" w:hAnsiTheme="minorEastAsia" w:hint="eastAsia"/>
          <w:sz w:val="21"/>
          <w:szCs w:val="21"/>
          <w:shd w:val="clear" w:color="auto" w:fill="FFFFFF"/>
        </w:rPr>
        <w:t>。</w:t>
      </w:r>
      <w:r w:rsidR="0071268E" w:rsidRPr="00FC53F0">
        <w:rPr>
          <w:rFonts w:asciiTheme="minorEastAsia" w:eastAsiaTheme="minorEastAsia" w:hAnsiTheme="minorEastAsia"/>
          <w:sz w:val="21"/>
          <w:szCs w:val="21"/>
          <w:shd w:val="clear" w:color="auto" w:fill="FFFFFF"/>
        </w:rPr>
        <w:t>对经济较为发达的地区（如广东省部分地区等），虽然集体建设用地属集体所有，但由于国有建设用地数量已不</w:t>
      </w:r>
      <w:r w:rsidRPr="00FC53F0">
        <w:rPr>
          <w:rFonts w:asciiTheme="minorEastAsia" w:eastAsiaTheme="minorEastAsia" w:hAnsiTheme="minorEastAsia" w:hint="eastAsia"/>
          <w:sz w:val="21"/>
          <w:szCs w:val="21"/>
          <w:shd w:val="clear" w:color="auto" w:fill="FFFFFF"/>
        </w:rPr>
        <w:t>能满足</w:t>
      </w:r>
      <w:r w:rsidR="0071268E" w:rsidRPr="00FC53F0">
        <w:rPr>
          <w:rFonts w:asciiTheme="minorEastAsia" w:eastAsiaTheme="minorEastAsia" w:hAnsiTheme="minorEastAsia"/>
          <w:sz w:val="21"/>
          <w:szCs w:val="21"/>
          <w:shd w:val="clear" w:color="auto" w:fill="FFFFFF"/>
        </w:rPr>
        <w:t>当地经济的发展，故该类地区集体建设用地能够如国有建设用地</w:t>
      </w:r>
      <w:proofErr w:type="gramStart"/>
      <w:r w:rsidR="0071268E" w:rsidRPr="00FC53F0">
        <w:rPr>
          <w:rFonts w:asciiTheme="minorEastAsia" w:eastAsiaTheme="minorEastAsia" w:hAnsiTheme="minorEastAsia"/>
          <w:sz w:val="21"/>
          <w:szCs w:val="21"/>
          <w:shd w:val="clear" w:color="auto" w:fill="FFFFFF"/>
        </w:rPr>
        <w:t>般充分</w:t>
      </w:r>
      <w:proofErr w:type="gramEnd"/>
      <w:r w:rsidR="0071268E" w:rsidRPr="00FC53F0">
        <w:rPr>
          <w:rFonts w:asciiTheme="minorEastAsia" w:eastAsiaTheme="minorEastAsia" w:hAnsiTheme="minorEastAsia"/>
          <w:sz w:val="21"/>
          <w:szCs w:val="21"/>
          <w:shd w:val="clear" w:color="auto" w:fill="FFFFFF"/>
        </w:rPr>
        <w:t>利用，使用国有建设用地基准地价的评估方法来评估集体建设用地基准地价是可行的</w:t>
      </w:r>
      <w:r w:rsidR="003A6C77" w:rsidRPr="00FC53F0">
        <w:rPr>
          <w:rFonts w:asciiTheme="minorEastAsia" w:eastAsiaTheme="minorEastAsia" w:hAnsiTheme="minorEastAsia" w:hint="eastAsia"/>
          <w:sz w:val="21"/>
          <w:szCs w:val="21"/>
          <w:shd w:val="clear" w:color="auto" w:fill="FFFFFF"/>
        </w:rPr>
        <w:t>。</w:t>
      </w:r>
      <w:r w:rsidR="0071268E" w:rsidRPr="00FC53F0">
        <w:rPr>
          <w:rFonts w:asciiTheme="minorEastAsia" w:eastAsiaTheme="minorEastAsia" w:hAnsiTheme="minorEastAsia"/>
          <w:sz w:val="21"/>
          <w:szCs w:val="21"/>
          <w:shd w:val="clear" w:color="auto" w:fill="FFFFFF"/>
        </w:rPr>
        <w:t>但对经济欠发达地区（如甘肃省），</w:t>
      </w:r>
      <w:r w:rsidR="00FB2657" w:rsidRPr="00FC53F0">
        <w:rPr>
          <w:rFonts w:asciiTheme="minorEastAsia" w:eastAsiaTheme="minorEastAsia" w:hAnsiTheme="minorEastAsia" w:hint="eastAsia"/>
          <w:sz w:val="21"/>
          <w:szCs w:val="21"/>
          <w:shd w:val="clear" w:color="auto" w:fill="FFFFFF"/>
        </w:rPr>
        <w:t>导致</w:t>
      </w:r>
      <w:r w:rsidR="0071268E" w:rsidRPr="00FC53F0">
        <w:rPr>
          <w:rFonts w:asciiTheme="minorEastAsia" w:eastAsiaTheme="minorEastAsia" w:hAnsiTheme="minorEastAsia"/>
          <w:sz w:val="21"/>
          <w:szCs w:val="21"/>
          <w:shd w:val="clear" w:color="auto" w:fill="FFFFFF"/>
        </w:rPr>
        <w:t>集体建设用地的</w:t>
      </w:r>
      <w:r w:rsidRPr="00FC53F0">
        <w:rPr>
          <w:rFonts w:asciiTheme="minorEastAsia" w:eastAsiaTheme="minorEastAsia" w:hAnsiTheme="minorEastAsia" w:hint="eastAsia"/>
          <w:sz w:val="21"/>
          <w:szCs w:val="21"/>
          <w:shd w:val="clear" w:color="auto" w:fill="FFFFFF"/>
        </w:rPr>
        <w:t>利用</w:t>
      </w:r>
      <w:r w:rsidR="003A6C77" w:rsidRPr="00FC53F0">
        <w:rPr>
          <w:rFonts w:asciiTheme="minorEastAsia" w:eastAsiaTheme="minorEastAsia" w:hAnsiTheme="minorEastAsia"/>
          <w:sz w:val="21"/>
          <w:szCs w:val="21"/>
          <w:shd w:val="clear" w:color="auto" w:fill="FFFFFF"/>
        </w:rPr>
        <w:t>尚不成熟</w:t>
      </w:r>
      <w:r w:rsidR="003A6C77" w:rsidRPr="00FC53F0">
        <w:rPr>
          <w:rFonts w:asciiTheme="minorEastAsia" w:eastAsiaTheme="minorEastAsia" w:hAnsiTheme="minorEastAsia" w:hint="eastAsia"/>
          <w:sz w:val="21"/>
          <w:szCs w:val="21"/>
          <w:shd w:val="clear" w:color="auto" w:fill="FFFFFF"/>
        </w:rPr>
        <w:t>的</w:t>
      </w:r>
      <w:r w:rsidR="0071268E" w:rsidRPr="00FC53F0">
        <w:rPr>
          <w:rFonts w:asciiTheme="minorEastAsia" w:eastAsiaTheme="minorEastAsia" w:hAnsiTheme="minorEastAsia"/>
          <w:sz w:val="21"/>
          <w:szCs w:val="21"/>
          <w:shd w:val="clear" w:color="auto" w:fill="FFFFFF"/>
        </w:rPr>
        <w:t>原因</w:t>
      </w:r>
      <w:r w:rsidR="00FB2657" w:rsidRPr="00FC53F0">
        <w:rPr>
          <w:rFonts w:asciiTheme="minorEastAsia" w:eastAsiaTheme="minorEastAsia" w:hAnsiTheme="minorEastAsia" w:hint="eastAsia"/>
          <w:sz w:val="21"/>
          <w:szCs w:val="21"/>
          <w:shd w:val="clear" w:color="auto" w:fill="FFFFFF"/>
        </w:rPr>
        <w:t>较多</w:t>
      </w:r>
      <w:r w:rsidR="0071268E" w:rsidRPr="00FC53F0">
        <w:rPr>
          <w:rFonts w:asciiTheme="minorEastAsia" w:eastAsiaTheme="minorEastAsia" w:hAnsiTheme="minorEastAsia"/>
          <w:sz w:val="21"/>
          <w:szCs w:val="21"/>
          <w:shd w:val="clear" w:color="auto" w:fill="FFFFFF"/>
        </w:rPr>
        <w:t>，其基准地价</w:t>
      </w:r>
      <w:r w:rsidRPr="00FC53F0">
        <w:rPr>
          <w:rFonts w:asciiTheme="minorEastAsia" w:eastAsiaTheme="minorEastAsia" w:hAnsiTheme="minorEastAsia" w:hint="eastAsia"/>
          <w:sz w:val="21"/>
          <w:szCs w:val="21"/>
          <w:shd w:val="clear" w:color="auto" w:fill="FFFFFF"/>
        </w:rPr>
        <w:t>评估</w:t>
      </w:r>
      <w:r w:rsidR="0071268E" w:rsidRPr="00FC53F0">
        <w:rPr>
          <w:rFonts w:asciiTheme="minorEastAsia" w:eastAsiaTheme="minorEastAsia" w:hAnsiTheme="minorEastAsia"/>
          <w:sz w:val="21"/>
          <w:szCs w:val="21"/>
          <w:shd w:val="clear" w:color="auto" w:fill="FFFFFF"/>
        </w:rPr>
        <w:t>并不能完全照搬国有建设用地基准地价的评估方法</w:t>
      </w:r>
      <w:r w:rsidR="0071268E" w:rsidRPr="00FC53F0">
        <w:rPr>
          <w:rFonts w:asciiTheme="minorEastAsia" w:eastAsiaTheme="minorEastAsia" w:hAnsiTheme="minorEastAsia"/>
          <w:sz w:val="21"/>
          <w:szCs w:val="21"/>
          <w:shd w:val="clear" w:color="auto" w:fill="FFFFFF"/>
          <w:vertAlign w:val="superscript"/>
        </w:rPr>
        <w:t>[24]</w:t>
      </w:r>
      <w:r w:rsidR="00FB2657"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sz w:val="21"/>
          <w:szCs w:val="21"/>
          <w:shd w:val="clear" w:color="auto" w:fill="FFFFFF"/>
        </w:rPr>
        <w:t>因此我们必须深入研究集体建设用地与国有建设用地</w:t>
      </w:r>
      <w:r w:rsidR="0071268E" w:rsidRPr="00FC53F0">
        <w:rPr>
          <w:rFonts w:asciiTheme="minorEastAsia" w:eastAsiaTheme="minorEastAsia" w:hAnsiTheme="minorEastAsia"/>
          <w:sz w:val="21"/>
          <w:szCs w:val="21"/>
          <w:shd w:val="clear" w:color="auto" w:fill="FFFFFF"/>
        </w:rPr>
        <w:t>的区别，建立具有实用性的集体建设用地基准地价评估方法</w:t>
      </w:r>
      <w:r w:rsidR="0071268E" w:rsidRPr="00FC53F0">
        <w:rPr>
          <w:rFonts w:asciiTheme="minorEastAsia" w:eastAsiaTheme="minorEastAsia" w:hAnsiTheme="minorEastAsia"/>
          <w:sz w:val="21"/>
          <w:szCs w:val="21"/>
          <w:shd w:val="clear" w:color="auto" w:fill="FFFFFF"/>
          <w:vertAlign w:val="superscript"/>
        </w:rPr>
        <w:t>[25]</w:t>
      </w:r>
      <w:r w:rsidR="0071268E" w:rsidRPr="00FC53F0">
        <w:rPr>
          <w:rFonts w:asciiTheme="minorEastAsia" w:eastAsiaTheme="minorEastAsia" w:hAnsiTheme="minorEastAsia"/>
          <w:sz w:val="21"/>
          <w:szCs w:val="21"/>
          <w:shd w:val="clear" w:color="auto" w:fill="FFFFFF"/>
        </w:rPr>
        <w:t>。鉴于此，本文在理论层面分析国有建设用地和集体建设用地间的差异时，引入心理学概念，</w:t>
      </w:r>
      <w:r w:rsidR="00FB2657" w:rsidRPr="00FC53F0">
        <w:rPr>
          <w:rFonts w:asciiTheme="minorEastAsia" w:eastAsiaTheme="minorEastAsia" w:hAnsiTheme="minorEastAsia" w:hint="eastAsia"/>
          <w:sz w:val="21"/>
          <w:szCs w:val="21"/>
          <w:shd w:val="clear" w:color="auto" w:fill="FFFFFF"/>
        </w:rPr>
        <w:t>试图</w:t>
      </w:r>
      <w:r w:rsidR="0071268E" w:rsidRPr="00FC53F0">
        <w:rPr>
          <w:rFonts w:asciiTheme="minorEastAsia" w:eastAsiaTheme="minorEastAsia" w:hAnsiTheme="minorEastAsia"/>
          <w:sz w:val="21"/>
          <w:szCs w:val="21"/>
          <w:shd w:val="clear" w:color="auto" w:fill="FFFFFF"/>
        </w:rPr>
        <w:t>在心理预期理论的基础上</w:t>
      </w:r>
      <w:r w:rsidR="00FB2657" w:rsidRPr="00FC53F0">
        <w:rPr>
          <w:rFonts w:asciiTheme="minorEastAsia" w:eastAsiaTheme="minorEastAsia" w:hAnsiTheme="minorEastAsia"/>
          <w:sz w:val="21"/>
          <w:szCs w:val="21"/>
          <w:shd w:val="clear" w:color="auto" w:fill="FFFFFF"/>
        </w:rPr>
        <w:t>，</w:t>
      </w:r>
      <w:r w:rsidR="00FB2657" w:rsidRPr="00FC53F0">
        <w:rPr>
          <w:rFonts w:asciiTheme="minorEastAsia" w:eastAsiaTheme="minorEastAsia" w:hAnsiTheme="minorEastAsia" w:hint="eastAsia"/>
          <w:sz w:val="21"/>
          <w:szCs w:val="21"/>
          <w:shd w:val="clear" w:color="auto" w:fill="FFFFFF"/>
        </w:rPr>
        <w:t>新</w:t>
      </w:r>
      <w:r w:rsidR="00FB2657" w:rsidRPr="00FC53F0">
        <w:rPr>
          <w:rFonts w:asciiTheme="minorEastAsia" w:eastAsiaTheme="minorEastAsia" w:hAnsiTheme="minorEastAsia"/>
          <w:sz w:val="21"/>
          <w:szCs w:val="21"/>
          <w:shd w:val="clear" w:color="auto" w:fill="FFFFFF"/>
        </w:rPr>
        <w:t>创</w:t>
      </w:r>
      <w:r w:rsidR="0071268E" w:rsidRPr="00FC53F0">
        <w:rPr>
          <w:rFonts w:asciiTheme="minorEastAsia" w:eastAsiaTheme="minorEastAsia" w:hAnsiTheme="minorEastAsia"/>
          <w:sz w:val="21"/>
          <w:szCs w:val="21"/>
          <w:shd w:val="clear" w:color="auto" w:fill="FFFFFF"/>
        </w:rPr>
        <w:t>一种适用于集体建设用地基准地价的评估方法，并加以实证。</w:t>
      </w:r>
    </w:p>
    <w:p w:rsidR="00F5516E" w:rsidRPr="00FC53F0" w:rsidRDefault="0071268E" w:rsidP="002021E2">
      <w:pPr>
        <w:spacing w:line="360" w:lineRule="auto"/>
        <w:rPr>
          <w:rFonts w:asciiTheme="minorEastAsia" w:eastAsiaTheme="minorEastAsia" w:hAnsiTheme="minorEastAsia"/>
          <w:b/>
          <w:bCs/>
          <w:sz w:val="28"/>
          <w:szCs w:val="28"/>
          <w:shd w:val="clear" w:color="auto" w:fill="FFFFFF"/>
        </w:rPr>
      </w:pPr>
      <w:r w:rsidRPr="00FC53F0">
        <w:rPr>
          <w:rFonts w:asciiTheme="minorEastAsia" w:eastAsiaTheme="minorEastAsia" w:hAnsiTheme="minorEastAsia"/>
          <w:b/>
          <w:bCs/>
          <w:sz w:val="28"/>
          <w:szCs w:val="28"/>
          <w:shd w:val="clear" w:color="auto" w:fill="FFFFFF"/>
        </w:rPr>
        <w:t>1 理论</w:t>
      </w:r>
      <w:r w:rsidRPr="00FC53F0">
        <w:rPr>
          <w:rFonts w:asciiTheme="minorEastAsia" w:eastAsiaTheme="minorEastAsia" w:hAnsiTheme="minorEastAsia" w:hint="eastAsia"/>
          <w:b/>
          <w:bCs/>
          <w:sz w:val="28"/>
          <w:szCs w:val="28"/>
          <w:shd w:val="clear" w:color="auto" w:fill="FFFFFF"/>
        </w:rPr>
        <w:t>分析</w:t>
      </w:r>
    </w:p>
    <w:p w:rsidR="00F5516E" w:rsidRPr="00FC53F0" w:rsidRDefault="0071268E" w:rsidP="002021E2">
      <w:pPr>
        <w:spacing w:line="360" w:lineRule="auto"/>
        <w:rPr>
          <w:rFonts w:asciiTheme="minorEastAsia" w:eastAsiaTheme="minorEastAsia" w:hAnsiTheme="minorEastAsia"/>
          <w:b/>
          <w:bCs/>
          <w:sz w:val="21"/>
          <w:szCs w:val="21"/>
          <w:shd w:val="clear" w:color="auto" w:fill="FFFFFF"/>
        </w:rPr>
      </w:pPr>
      <w:r w:rsidRPr="00FC53F0">
        <w:rPr>
          <w:rFonts w:asciiTheme="minorEastAsia" w:eastAsiaTheme="minorEastAsia" w:hAnsiTheme="minorEastAsia"/>
          <w:b/>
          <w:bCs/>
          <w:sz w:val="21"/>
          <w:szCs w:val="21"/>
          <w:shd w:val="clear" w:color="auto" w:fill="FFFFFF"/>
        </w:rPr>
        <w:t>1.1 心理预期账户理论</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“心理账户”理论是在1980年由芝加哥著名心理学家</w:t>
      </w:r>
      <w:r w:rsidR="00FB2657" w:rsidRPr="00FC53F0">
        <w:rPr>
          <w:rFonts w:asciiTheme="minorEastAsia" w:eastAsiaTheme="minorEastAsia" w:hAnsiTheme="minorEastAsia" w:hint="eastAsia"/>
          <w:sz w:val="21"/>
          <w:szCs w:val="21"/>
          <w:shd w:val="clear" w:color="auto" w:fill="FFFFFF"/>
        </w:rPr>
        <w:t>理查德·</w:t>
      </w:r>
      <w:r w:rsidRPr="00FC53F0">
        <w:rPr>
          <w:rFonts w:asciiTheme="minorEastAsia" w:eastAsiaTheme="minorEastAsia" w:hAnsiTheme="minorEastAsia"/>
          <w:sz w:val="21"/>
          <w:szCs w:val="21"/>
          <w:shd w:val="clear" w:color="auto" w:fill="FFFFFF"/>
        </w:rPr>
        <w:t>萨勒教授在一篇题为《Using Mental Accounting In A Theory Of Consumer Behavior》的文章中针对消费者行为首次提出的。所谓心理账户就是人们在心理上无意识</w:t>
      </w:r>
      <w:r w:rsidR="003A6C77" w:rsidRPr="00FC53F0">
        <w:rPr>
          <w:rFonts w:asciiTheme="minorEastAsia" w:eastAsiaTheme="minorEastAsia" w:hAnsiTheme="minorEastAsia" w:hint="eastAsia"/>
          <w:sz w:val="21"/>
          <w:szCs w:val="21"/>
          <w:shd w:val="clear" w:color="auto" w:fill="FFFFFF"/>
        </w:rPr>
        <w:t>地</w:t>
      </w:r>
      <w:r w:rsidRPr="00FC53F0">
        <w:rPr>
          <w:rFonts w:asciiTheme="minorEastAsia" w:eastAsiaTheme="minorEastAsia" w:hAnsiTheme="minorEastAsia"/>
          <w:sz w:val="21"/>
          <w:szCs w:val="21"/>
          <w:shd w:val="clear" w:color="auto" w:fill="FFFFFF"/>
        </w:rPr>
        <w:t>把财富划归不同的账户进行管理，不同的心理账户有</w:t>
      </w:r>
      <w:r w:rsidR="000F49E7" w:rsidRPr="00FC53F0">
        <w:rPr>
          <w:rFonts w:asciiTheme="minorEastAsia" w:eastAsiaTheme="minorEastAsia" w:hAnsiTheme="minorEastAsia"/>
          <w:sz w:val="21"/>
          <w:szCs w:val="21"/>
          <w:shd w:val="clear" w:color="auto" w:fill="FFFFFF"/>
        </w:rPr>
        <w:t>不同的记账方式和心理运算规则。而这种心理记账的方式和运算规则</w:t>
      </w:r>
      <w:r w:rsidRPr="00FC53F0">
        <w:rPr>
          <w:rFonts w:asciiTheme="minorEastAsia" w:eastAsiaTheme="minorEastAsia" w:hAnsiTheme="minorEastAsia"/>
          <w:sz w:val="21"/>
          <w:szCs w:val="21"/>
          <w:shd w:val="clear" w:color="auto" w:fill="FFFFFF"/>
        </w:rPr>
        <w:t>与经济学和数学的运算方式都不相同，因此经常会以非预期的方式影响着决策，</w:t>
      </w:r>
      <w:r w:rsidR="00FB2657" w:rsidRPr="00FC53F0">
        <w:rPr>
          <w:rFonts w:asciiTheme="minorEastAsia" w:eastAsiaTheme="minorEastAsia" w:hAnsiTheme="minorEastAsia" w:hint="eastAsia"/>
          <w:sz w:val="21"/>
          <w:szCs w:val="21"/>
          <w:shd w:val="clear" w:color="auto" w:fill="FFFFFF"/>
        </w:rPr>
        <w:t>是</w:t>
      </w:r>
      <w:r w:rsidRPr="00FC53F0">
        <w:rPr>
          <w:rFonts w:asciiTheme="minorEastAsia" w:eastAsiaTheme="minorEastAsia" w:hAnsiTheme="minorEastAsia"/>
          <w:sz w:val="21"/>
          <w:szCs w:val="21"/>
          <w:shd w:val="clear" w:color="auto" w:fill="FFFFFF"/>
        </w:rPr>
        <w:t>个体的决策违背最简单的理性经济法则。认知心理学认为，人在决策时因为要受到感知、内在动机和态度等因素的影响，所以决策过程并不完全是理性的。也就是说，在这种情况下确立的心理账户通常都存在一定的误区，这样势必会给决策带来不小的影响，甚至会引起决策失误。而对于土地来说，如若对两种权属</w:t>
      </w:r>
      <w:r w:rsidR="000F49E7" w:rsidRPr="00FC53F0">
        <w:rPr>
          <w:rFonts w:asciiTheme="minorEastAsia" w:eastAsiaTheme="minorEastAsia" w:hAnsiTheme="minorEastAsia"/>
          <w:sz w:val="21"/>
          <w:szCs w:val="21"/>
          <w:shd w:val="clear" w:color="auto" w:fill="FFFFFF"/>
        </w:rPr>
        <w:t>的土地心理预期不同，那么</w:t>
      </w:r>
      <w:r w:rsidR="00FB2657" w:rsidRPr="00FC53F0">
        <w:rPr>
          <w:rFonts w:asciiTheme="minorEastAsia" w:eastAsiaTheme="minorEastAsia" w:hAnsiTheme="minorEastAsia" w:hint="eastAsia"/>
          <w:sz w:val="21"/>
          <w:szCs w:val="21"/>
          <w:shd w:val="clear" w:color="auto" w:fill="FFFFFF"/>
        </w:rPr>
        <w:t>决策者</w:t>
      </w:r>
      <w:r w:rsidR="000F49E7" w:rsidRPr="00FC53F0">
        <w:rPr>
          <w:rFonts w:asciiTheme="minorEastAsia" w:eastAsiaTheme="minorEastAsia" w:hAnsiTheme="minorEastAsia"/>
          <w:sz w:val="21"/>
          <w:szCs w:val="21"/>
          <w:shd w:val="clear" w:color="auto" w:fill="FFFFFF"/>
        </w:rPr>
        <w:t>对于两种权属的土地最终的价格预期也会</w:t>
      </w:r>
      <w:r w:rsidRPr="00FC53F0">
        <w:rPr>
          <w:rFonts w:asciiTheme="minorEastAsia" w:eastAsiaTheme="minorEastAsia" w:hAnsiTheme="minorEastAsia"/>
          <w:sz w:val="21"/>
          <w:szCs w:val="21"/>
          <w:shd w:val="clear" w:color="auto" w:fill="FFFFFF"/>
        </w:rPr>
        <w:t>不同。</w:t>
      </w:r>
    </w:p>
    <w:p w:rsidR="00F5516E" w:rsidRPr="00FC53F0" w:rsidRDefault="0071268E" w:rsidP="002021E2">
      <w:pPr>
        <w:spacing w:line="360" w:lineRule="auto"/>
        <w:rPr>
          <w:rFonts w:asciiTheme="minorEastAsia" w:eastAsiaTheme="minorEastAsia" w:hAnsiTheme="minorEastAsia"/>
          <w:b/>
          <w:bCs/>
          <w:sz w:val="21"/>
          <w:szCs w:val="21"/>
          <w:shd w:val="clear" w:color="auto" w:fill="FFFFFF"/>
        </w:rPr>
      </w:pPr>
      <w:r w:rsidRPr="00FC53F0">
        <w:rPr>
          <w:rFonts w:asciiTheme="minorEastAsia" w:eastAsiaTheme="minorEastAsia" w:hAnsiTheme="minorEastAsia"/>
          <w:b/>
          <w:bCs/>
          <w:sz w:val="21"/>
          <w:szCs w:val="21"/>
          <w:shd w:val="clear" w:color="auto" w:fill="FFFFFF"/>
        </w:rPr>
        <w:t>1.2 基于心理预期账户理论的国有与集体建设用地同权同价不可能性分析</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十八届三中全会通过的《中共中央关于全面深化改革若干重大问题的决定》提出要建立</w:t>
      </w:r>
      <w:r w:rsidRPr="00FC53F0">
        <w:rPr>
          <w:rFonts w:asciiTheme="minorEastAsia" w:eastAsiaTheme="minorEastAsia" w:hAnsiTheme="minorEastAsia"/>
          <w:sz w:val="21"/>
          <w:szCs w:val="21"/>
          <w:shd w:val="clear" w:color="auto" w:fill="FFFFFF"/>
        </w:rPr>
        <w:lastRenderedPageBreak/>
        <w:t>城乡统一的建设用地市场。在符合规划和用途管制前提下，允许农村集体经营性建设用地出让、租赁、入股，实行与国有土地同等入市、同权同价。对于同权同价的理解，文中参考蔡继明</w:t>
      </w:r>
      <w:r w:rsidRPr="00FC53F0">
        <w:rPr>
          <w:rFonts w:asciiTheme="minorEastAsia" w:eastAsiaTheme="minorEastAsia" w:hAnsiTheme="minorEastAsia"/>
          <w:sz w:val="21"/>
          <w:szCs w:val="21"/>
          <w:shd w:val="clear" w:color="auto" w:fill="FFFFFF"/>
          <w:vertAlign w:val="superscript"/>
        </w:rPr>
        <w:t>[26]</w:t>
      </w:r>
      <w:r w:rsidRPr="00FC53F0">
        <w:rPr>
          <w:rFonts w:asciiTheme="minorEastAsia" w:eastAsiaTheme="minorEastAsia" w:hAnsiTheme="minorEastAsia"/>
          <w:sz w:val="21"/>
          <w:szCs w:val="21"/>
          <w:shd w:val="clear" w:color="auto" w:fill="FFFFFF"/>
        </w:rPr>
        <w:t>教授对同权同价的定义，即同权是指相同土地具有同等的占有、使用、收益和处置</w:t>
      </w:r>
      <w:r w:rsidR="00FB2657" w:rsidRPr="00FC53F0">
        <w:rPr>
          <w:rFonts w:asciiTheme="minorEastAsia" w:eastAsiaTheme="minorEastAsia" w:hAnsiTheme="minorEastAsia" w:hint="eastAsia"/>
          <w:sz w:val="21"/>
          <w:szCs w:val="21"/>
          <w:shd w:val="clear" w:color="auto" w:fill="FFFFFF"/>
        </w:rPr>
        <w:t>的权利</w:t>
      </w:r>
      <w:r w:rsidRPr="00FC53F0">
        <w:rPr>
          <w:rFonts w:asciiTheme="minorEastAsia" w:eastAsiaTheme="minorEastAsia" w:hAnsiTheme="minorEastAsia"/>
          <w:sz w:val="21"/>
          <w:szCs w:val="21"/>
          <w:shd w:val="clear" w:color="auto" w:fill="FFFFFF"/>
        </w:rPr>
        <w:t>，包括出让、转让、出租和抵押；同价是</w:t>
      </w:r>
      <w:proofErr w:type="gramStart"/>
      <w:r w:rsidRPr="00FC53F0">
        <w:rPr>
          <w:rFonts w:asciiTheme="minorEastAsia" w:eastAsiaTheme="minorEastAsia" w:hAnsiTheme="minorEastAsia"/>
          <w:sz w:val="21"/>
          <w:szCs w:val="21"/>
          <w:shd w:val="clear" w:color="auto" w:fill="FFFFFF"/>
        </w:rPr>
        <w:t>指相同</w:t>
      </w:r>
      <w:proofErr w:type="gramEnd"/>
      <w:r w:rsidRPr="00FC53F0">
        <w:rPr>
          <w:rFonts w:asciiTheme="minorEastAsia" w:eastAsiaTheme="minorEastAsia" w:hAnsiTheme="minorEastAsia"/>
          <w:sz w:val="21"/>
          <w:szCs w:val="21"/>
          <w:shd w:val="clear" w:color="auto" w:fill="FFFFFF"/>
        </w:rPr>
        <w:t>用途、相同位置的土地应具有相同的价格，不能因所有权不同实行价格歧视。显然，针对同一区域内的国有建设</w:t>
      </w:r>
      <w:r w:rsidR="000F49E7" w:rsidRPr="00FC53F0">
        <w:rPr>
          <w:rFonts w:asciiTheme="minorEastAsia" w:eastAsiaTheme="minorEastAsia" w:hAnsiTheme="minorEastAsia"/>
          <w:sz w:val="21"/>
          <w:szCs w:val="21"/>
          <w:shd w:val="clear" w:color="auto" w:fill="FFFFFF"/>
        </w:rPr>
        <w:t>用地和集体建设用地而言，其应该具有相同的出让、转让、出租</w:t>
      </w:r>
      <w:r w:rsidR="000F49E7" w:rsidRPr="00FC53F0">
        <w:rPr>
          <w:rFonts w:asciiTheme="minorEastAsia" w:eastAsiaTheme="minorEastAsia" w:hAnsiTheme="minorEastAsia" w:hint="eastAsia"/>
          <w:sz w:val="21"/>
          <w:szCs w:val="21"/>
          <w:shd w:val="clear" w:color="auto" w:fill="FFFFFF"/>
        </w:rPr>
        <w:t>、</w:t>
      </w:r>
      <w:r w:rsidR="000F49E7" w:rsidRPr="00FC53F0">
        <w:rPr>
          <w:rFonts w:asciiTheme="minorEastAsia" w:eastAsiaTheme="minorEastAsia" w:hAnsiTheme="minorEastAsia"/>
          <w:sz w:val="21"/>
          <w:szCs w:val="21"/>
          <w:shd w:val="clear" w:color="auto" w:fill="FFFFFF"/>
        </w:rPr>
        <w:t>抵押</w:t>
      </w:r>
      <w:r w:rsidRPr="00FC53F0">
        <w:rPr>
          <w:rFonts w:asciiTheme="minorEastAsia" w:eastAsiaTheme="minorEastAsia" w:hAnsiTheme="minorEastAsia"/>
          <w:sz w:val="21"/>
          <w:szCs w:val="21"/>
          <w:shd w:val="clear" w:color="auto" w:fill="FFFFFF"/>
        </w:rPr>
        <w:t>权利</w:t>
      </w:r>
      <w:r w:rsidR="000F49E7" w:rsidRPr="00FC53F0">
        <w:rPr>
          <w:rFonts w:asciiTheme="minorEastAsia" w:eastAsiaTheme="minorEastAsia" w:hAnsiTheme="minorEastAsia" w:hint="eastAsia"/>
          <w:sz w:val="21"/>
          <w:szCs w:val="21"/>
          <w:shd w:val="clear" w:color="auto" w:fill="FFFFFF"/>
        </w:rPr>
        <w:t>和</w:t>
      </w:r>
      <w:r w:rsidRPr="00FC53F0">
        <w:rPr>
          <w:rFonts w:asciiTheme="minorEastAsia" w:eastAsiaTheme="minorEastAsia" w:hAnsiTheme="minorEastAsia"/>
          <w:sz w:val="21"/>
          <w:szCs w:val="21"/>
          <w:shd w:val="clear" w:color="auto" w:fill="FFFFFF"/>
        </w:rPr>
        <w:t>相同的价格。目前来看，很多地方并非如此</w:t>
      </w:r>
      <w:r w:rsidRPr="00FC53F0">
        <w:rPr>
          <w:rFonts w:asciiTheme="minorEastAsia" w:eastAsiaTheme="minorEastAsia" w:hAnsiTheme="minorEastAsia"/>
          <w:sz w:val="21"/>
          <w:szCs w:val="21"/>
          <w:shd w:val="clear" w:color="auto" w:fill="FFFFFF"/>
          <w:vertAlign w:val="superscript"/>
        </w:rPr>
        <w:t>[22,27</w:t>
      </w:r>
      <w:r w:rsidR="003A6C77" w:rsidRPr="00FC53F0">
        <w:rPr>
          <w:rFonts w:asciiTheme="minorEastAsia" w:eastAsiaTheme="minorEastAsia" w:hAnsiTheme="minorEastAsia"/>
          <w:sz w:val="21"/>
          <w:szCs w:val="21"/>
          <w:shd w:val="clear" w:color="auto" w:fill="FFFFFF"/>
          <w:vertAlign w:val="superscript"/>
        </w:rPr>
        <w:t>-</w:t>
      </w:r>
      <w:r w:rsidRPr="00FC53F0">
        <w:rPr>
          <w:rFonts w:asciiTheme="minorEastAsia" w:eastAsiaTheme="minorEastAsia" w:hAnsiTheme="minorEastAsia"/>
          <w:sz w:val="21"/>
          <w:szCs w:val="21"/>
          <w:shd w:val="clear" w:color="auto" w:fill="FFFFFF"/>
          <w:vertAlign w:val="superscript"/>
        </w:rPr>
        <w:t>28]</w:t>
      </w:r>
      <w:r w:rsidRPr="00FC53F0">
        <w:rPr>
          <w:rFonts w:asciiTheme="minorEastAsia" w:eastAsiaTheme="minorEastAsia" w:hAnsiTheme="minorEastAsia"/>
          <w:sz w:val="21"/>
          <w:szCs w:val="21"/>
          <w:shd w:val="clear" w:color="auto" w:fill="FFFFFF"/>
        </w:rPr>
        <w:t>，而是将集体建设用地与国有建设用地</w:t>
      </w:r>
      <w:r w:rsidRPr="00FC53F0">
        <w:rPr>
          <w:rFonts w:asciiTheme="minorEastAsia" w:eastAsiaTheme="minorEastAsia" w:hAnsiTheme="minorEastAsia" w:hint="eastAsia"/>
          <w:sz w:val="21"/>
          <w:szCs w:val="21"/>
          <w:shd w:val="clear" w:color="auto" w:fill="FFFFFF"/>
        </w:rPr>
        <w:t>地价</w:t>
      </w:r>
      <w:r w:rsidRPr="00FC53F0">
        <w:rPr>
          <w:rFonts w:asciiTheme="minorEastAsia" w:eastAsiaTheme="minorEastAsia" w:hAnsiTheme="minorEastAsia"/>
          <w:sz w:val="21"/>
          <w:szCs w:val="21"/>
          <w:shd w:val="clear" w:color="auto" w:fill="FFFFFF"/>
        </w:rPr>
        <w:t>区别对待。造成这一现象的主要原因是人们对于国有建设用地和集体建设用地价格的心理预期不同。实际来看，国有</w:t>
      </w:r>
      <w:r w:rsidR="00FB2657" w:rsidRPr="00FC53F0">
        <w:rPr>
          <w:rFonts w:asciiTheme="minorEastAsia" w:eastAsiaTheme="minorEastAsia" w:hAnsiTheme="minorEastAsia"/>
          <w:sz w:val="21"/>
          <w:szCs w:val="21"/>
          <w:shd w:val="clear" w:color="auto" w:fill="FFFFFF"/>
        </w:rPr>
        <w:t>建设用地和集体建设用地的土地利用效率是完全相同，不存在任何差异</w:t>
      </w:r>
      <w:r w:rsidRPr="00FC53F0">
        <w:rPr>
          <w:rFonts w:asciiTheme="minorEastAsia" w:eastAsiaTheme="minorEastAsia" w:hAnsiTheme="minorEastAsia"/>
          <w:sz w:val="21"/>
          <w:szCs w:val="21"/>
          <w:shd w:val="clear" w:color="auto" w:fill="FFFFFF"/>
        </w:rPr>
        <w:t>，比如两个相邻地块，一块是国有建设用地，另一块是集体建设用地，开发商对其进行利用时，其实际利用效率是完全没有差异的。对于这两类土地的价格均遵循马克思地租地价理论，但受到效用价值论（包括人对土地的主观认知和心理</w:t>
      </w:r>
      <w:r w:rsidR="00FB2657" w:rsidRPr="00FC53F0">
        <w:rPr>
          <w:rFonts w:asciiTheme="minorEastAsia" w:eastAsiaTheme="minorEastAsia" w:hAnsiTheme="minorEastAsia"/>
          <w:sz w:val="21"/>
          <w:szCs w:val="21"/>
          <w:shd w:val="clear" w:color="auto" w:fill="FFFFFF"/>
        </w:rPr>
        <w:t>预期）的影响，即使这两类土地具有相同的权利，其土地利用效率也</w:t>
      </w:r>
      <w:r w:rsidR="00FB2657" w:rsidRPr="00FC53F0">
        <w:rPr>
          <w:rFonts w:asciiTheme="minorEastAsia" w:eastAsiaTheme="minorEastAsia" w:hAnsiTheme="minorEastAsia" w:hint="eastAsia"/>
          <w:sz w:val="21"/>
          <w:szCs w:val="21"/>
          <w:shd w:val="clear" w:color="auto" w:fill="FFFFFF"/>
        </w:rPr>
        <w:t>相同</w:t>
      </w:r>
      <w:r w:rsidRPr="00FC53F0">
        <w:rPr>
          <w:rFonts w:asciiTheme="minorEastAsia" w:eastAsiaTheme="minorEastAsia" w:hAnsiTheme="minorEastAsia"/>
          <w:sz w:val="21"/>
          <w:szCs w:val="21"/>
          <w:shd w:val="clear" w:color="auto" w:fill="FFFFFF"/>
        </w:rPr>
        <w:t>，但在实际中受到消费者心理预期对其影响的不同，并不能做到同价，导致国有建设用地</w:t>
      </w:r>
      <w:r w:rsidR="003A6C77" w:rsidRPr="00FC53F0">
        <w:rPr>
          <w:rFonts w:asciiTheme="minorEastAsia" w:eastAsiaTheme="minorEastAsia" w:hAnsiTheme="minorEastAsia" w:hint="eastAsia"/>
          <w:sz w:val="21"/>
          <w:szCs w:val="21"/>
          <w:shd w:val="clear" w:color="auto" w:fill="FFFFFF"/>
        </w:rPr>
        <w:t>的</w:t>
      </w:r>
      <w:r w:rsidRPr="00FC53F0">
        <w:rPr>
          <w:rFonts w:asciiTheme="minorEastAsia" w:eastAsiaTheme="minorEastAsia" w:hAnsiTheme="minorEastAsia"/>
          <w:sz w:val="21"/>
          <w:szCs w:val="21"/>
          <w:shd w:val="clear" w:color="auto" w:fill="FFFFFF"/>
        </w:rPr>
        <w:t>出让</w:t>
      </w:r>
      <w:r w:rsidR="000F49E7" w:rsidRPr="00FC53F0">
        <w:rPr>
          <w:rFonts w:asciiTheme="minorEastAsia" w:eastAsiaTheme="minorEastAsia" w:hAnsiTheme="minorEastAsia" w:hint="eastAsia"/>
          <w:sz w:val="21"/>
          <w:szCs w:val="21"/>
          <w:shd w:val="clear" w:color="auto" w:fill="FFFFFF"/>
        </w:rPr>
        <w:t>价格</w:t>
      </w:r>
      <w:r w:rsidR="003A6C77" w:rsidRPr="00FC53F0">
        <w:rPr>
          <w:rFonts w:asciiTheme="minorEastAsia" w:eastAsiaTheme="minorEastAsia" w:hAnsiTheme="minorEastAsia"/>
          <w:sz w:val="21"/>
          <w:szCs w:val="21"/>
          <w:shd w:val="clear" w:color="auto" w:fill="FFFFFF"/>
        </w:rPr>
        <w:t>明显高于集体</w:t>
      </w:r>
      <w:r w:rsidR="003A6C77" w:rsidRPr="00FC53F0">
        <w:rPr>
          <w:rFonts w:asciiTheme="minorEastAsia" w:eastAsiaTheme="minorEastAsia" w:hAnsiTheme="minorEastAsia" w:hint="eastAsia"/>
          <w:sz w:val="21"/>
          <w:szCs w:val="21"/>
          <w:shd w:val="clear" w:color="auto" w:fill="FFFFFF"/>
        </w:rPr>
        <w:t>建设用</w:t>
      </w:r>
      <w:r w:rsidRPr="00FC53F0">
        <w:rPr>
          <w:rFonts w:asciiTheme="minorEastAsia" w:eastAsiaTheme="minorEastAsia" w:hAnsiTheme="minorEastAsia"/>
          <w:sz w:val="21"/>
          <w:szCs w:val="21"/>
          <w:shd w:val="clear" w:color="auto" w:fill="FFFFFF"/>
        </w:rPr>
        <w:t>地。由此我们引入权能差异的概念，正是因为人们对两类土地的心理预期不同，即人们认为的两者的</w:t>
      </w:r>
      <w:r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sz w:val="21"/>
          <w:szCs w:val="21"/>
          <w:shd w:val="clear" w:color="auto" w:fill="FFFFFF"/>
        </w:rPr>
        <w:t>权能</w:t>
      </w:r>
      <w:r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sz w:val="21"/>
          <w:szCs w:val="21"/>
          <w:shd w:val="clear" w:color="auto" w:fill="FFFFFF"/>
        </w:rPr>
        <w:t>不同</w:t>
      </w:r>
      <w:r w:rsidRPr="00FC53F0">
        <w:rPr>
          <w:rFonts w:asciiTheme="minorEastAsia" w:eastAsiaTheme="minorEastAsia" w:hAnsiTheme="minorEastAsia" w:hint="eastAsia"/>
          <w:sz w:val="21"/>
          <w:szCs w:val="21"/>
          <w:shd w:val="clear" w:color="auto" w:fill="FFFFFF"/>
        </w:rPr>
        <w:t>（但实际是相同的）</w:t>
      </w:r>
      <w:r w:rsidRPr="00FC53F0">
        <w:rPr>
          <w:rFonts w:asciiTheme="minorEastAsia" w:eastAsiaTheme="minorEastAsia" w:hAnsiTheme="minorEastAsia"/>
          <w:sz w:val="21"/>
          <w:szCs w:val="21"/>
          <w:shd w:val="clear" w:color="auto" w:fill="FFFFFF"/>
        </w:rPr>
        <w:t>，</w:t>
      </w:r>
      <w:proofErr w:type="gramStart"/>
      <w:r w:rsidRPr="00FC53F0">
        <w:rPr>
          <w:rFonts w:asciiTheme="minorEastAsia" w:eastAsiaTheme="minorEastAsia" w:hAnsiTheme="minorEastAsia"/>
          <w:sz w:val="21"/>
          <w:szCs w:val="21"/>
          <w:shd w:val="clear" w:color="auto" w:fill="FFFFFF"/>
        </w:rPr>
        <w:t>故而导致</w:t>
      </w:r>
      <w:proofErr w:type="gramEnd"/>
      <w:r w:rsidRPr="00FC53F0">
        <w:rPr>
          <w:rFonts w:asciiTheme="minorEastAsia" w:eastAsiaTheme="minorEastAsia" w:hAnsiTheme="minorEastAsia"/>
          <w:sz w:val="21"/>
          <w:szCs w:val="21"/>
          <w:shd w:val="clear" w:color="auto" w:fill="FFFFFF"/>
        </w:rPr>
        <w:t>国有建设用地与集体建设用地价格</w:t>
      </w:r>
      <w:r w:rsidR="000F49E7" w:rsidRPr="00FC53F0">
        <w:rPr>
          <w:rFonts w:asciiTheme="minorEastAsia" w:eastAsiaTheme="minorEastAsia" w:hAnsiTheme="minorEastAsia" w:hint="eastAsia"/>
          <w:sz w:val="21"/>
          <w:szCs w:val="21"/>
          <w:shd w:val="clear" w:color="auto" w:fill="FFFFFF"/>
        </w:rPr>
        <w:t>不同</w:t>
      </w:r>
      <w:r w:rsidRPr="00FC53F0">
        <w:rPr>
          <w:rFonts w:asciiTheme="minorEastAsia" w:eastAsiaTheme="minorEastAsia" w:hAnsiTheme="minorEastAsia"/>
          <w:sz w:val="21"/>
          <w:szCs w:val="21"/>
          <w:shd w:val="clear" w:color="auto" w:fill="FFFFFF"/>
        </w:rPr>
        <w:t>。</w:t>
      </w:r>
    </w:p>
    <w:p w:rsidR="00F5516E" w:rsidRPr="00FC53F0" w:rsidRDefault="0071268E" w:rsidP="002021E2">
      <w:pPr>
        <w:spacing w:line="360" w:lineRule="auto"/>
        <w:rPr>
          <w:rFonts w:asciiTheme="minorEastAsia" w:eastAsiaTheme="minorEastAsia" w:hAnsiTheme="minorEastAsia"/>
          <w:b/>
          <w:bCs/>
          <w:sz w:val="21"/>
          <w:szCs w:val="21"/>
          <w:shd w:val="clear" w:color="auto" w:fill="FFFFFF"/>
        </w:rPr>
      </w:pPr>
      <w:r w:rsidRPr="00FC53F0">
        <w:rPr>
          <w:rFonts w:asciiTheme="minorEastAsia" w:eastAsiaTheme="minorEastAsia" w:hAnsiTheme="minorEastAsia"/>
          <w:b/>
          <w:bCs/>
          <w:sz w:val="21"/>
          <w:szCs w:val="21"/>
          <w:shd w:val="clear" w:color="auto" w:fill="FFFFFF"/>
        </w:rPr>
        <w:t>1.3 现有的地价评估方法适用性分析</w:t>
      </w:r>
    </w:p>
    <w:p w:rsidR="00F5516E" w:rsidRPr="00FC53F0" w:rsidRDefault="0071268E" w:rsidP="002021E2">
      <w:pPr>
        <w:spacing w:line="360" w:lineRule="auto"/>
        <w:rPr>
          <w:rFonts w:asciiTheme="minorEastAsia" w:eastAsiaTheme="minorEastAsia" w:hAnsiTheme="minorEastAsia"/>
          <w:b/>
          <w:sz w:val="21"/>
          <w:szCs w:val="21"/>
          <w:shd w:val="clear" w:color="auto" w:fill="FFFFFF"/>
        </w:rPr>
      </w:pPr>
      <w:r w:rsidRPr="00FC53F0">
        <w:rPr>
          <w:rFonts w:asciiTheme="minorEastAsia" w:eastAsiaTheme="minorEastAsia" w:hAnsiTheme="minorEastAsia" w:hint="eastAsia"/>
          <w:b/>
          <w:sz w:val="21"/>
          <w:szCs w:val="21"/>
          <w:shd w:val="clear" w:color="auto" w:fill="FFFFFF"/>
        </w:rPr>
        <w:t>1.3.1 现有评估方法的比较分析</w:t>
      </w:r>
    </w:p>
    <w:p w:rsidR="00F5516E" w:rsidRPr="00FC53F0" w:rsidRDefault="0071268E" w:rsidP="00026C6C">
      <w:pPr>
        <w:spacing w:after="240"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通过</w:t>
      </w:r>
      <w:r w:rsidR="00FB2657" w:rsidRPr="00FC53F0">
        <w:rPr>
          <w:rFonts w:asciiTheme="minorEastAsia" w:eastAsiaTheme="minorEastAsia" w:hAnsiTheme="minorEastAsia" w:hint="eastAsia"/>
          <w:sz w:val="21"/>
          <w:szCs w:val="21"/>
          <w:shd w:val="clear" w:color="auto" w:fill="FFFFFF"/>
        </w:rPr>
        <w:t>对相关文献</w:t>
      </w:r>
      <w:r w:rsidR="000F49E7" w:rsidRPr="00FC53F0">
        <w:rPr>
          <w:rFonts w:asciiTheme="minorEastAsia" w:eastAsiaTheme="minorEastAsia" w:hAnsiTheme="minorEastAsia" w:hint="eastAsia"/>
          <w:sz w:val="21"/>
          <w:szCs w:val="21"/>
          <w:shd w:val="clear" w:color="auto" w:fill="FFFFFF"/>
        </w:rPr>
        <w:t>梳理，将现有评估方法的优势、劣势及其使用范围整理如</w:t>
      </w:r>
      <w:r w:rsidRPr="00FC53F0">
        <w:rPr>
          <w:rFonts w:asciiTheme="minorEastAsia" w:eastAsiaTheme="minorEastAsia" w:hAnsiTheme="minorEastAsia" w:hint="eastAsia"/>
          <w:sz w:val="21"/>
          <w:szCs w:val="21"/>
          <w:shd w:val="clear" w:color="auto" w:fill="FFFFFF"/>
        </w:rPr>
        <w:t>表</w:t>
      </w:r>
      <w:r w:rsidR="000F49E7" w:rsidRPr="00FC53F0">
        <w:rPr>
          <w:rFonts w:asciiTheme="minorEastAsia" w:eastAsiaTheme="minorEastAsia" w:hAnsiTheme="minorEastAsia" w:hint="eastAsia"/>
          <w:sz w:val="21"/>
          <w:szCs w:val="21"/>
          <w:shd w:val="clear" w:color="auto" w:fill="FFFFFF"/>
        </w:rPr>
        <w:t>1</w:t>
      </w:r>
      <w:r w:rsidRPr="00FC53F0">
        <w:rPr>
          <w:rFonts w:asciiTheme="minorEastAsia" w:eastAsiaTheme="minorEastAsia" w:hAnsiTheme="minorEastAsia" w:hint="eastAsia"/>
          <w:sz w:val="21"/>
          <w:szCs w:val="21"/>
          <w:shd w:val="clear" w:color="auto" w:fill="FFFFFF"/>
        </w:rPr>
        <w:t>所示：</w:t>
      </w:r>
    </w:p>
    <w:p w:rsidR="00F5516E" w:rsidRPr="00FC53F0" w:rsidRDefault="0071268E">
      <w:pPr>
        <w:snapToGrid w:val="0"/>
        <w:spacing w:line="288" w:lineRule="auto"/>
        <w:jc w:val="center"/>
        <w:rPr>
          <w:rFonts w:asciiTheme="minorEastAsia" w:eastAsiaTheme="minorEastAsia" w:hAnsiTheme="minorEastAsia"/>
          <w:b/>
          <w:sz w:val="21"/>
          <w:szCs w:val="21"/>
          <w:shd w:val="clear" w:color="auto" w:fill="FFFFFF"/>
        </w:rPr>
      </w:pPr>
      <w:r w:rsidRPr="00FC53F0">
        <w:rPr>
          <w:rFonts w:asciiTheme="minorEastAsia" w:eastAsiaTheme="minorEastAsia" w:hAnsiTheme="minorEastAsia" w:hint="eastAsia"/>
          <w:b/>
          <w:sz w:val="21"/>
          <w:szCs w:val="21"/>
          <w:shd w:val="clear" w:color="auto" w:fill="FFFFFF"/>
        </w:rPr>
        <w:t>表1</w:t>
      </w:r>
      <w:r w:rsidRPr="00FC53F0">
        <w:rPr>
          <w:rFonts w:asciiTheme="minorEastAsia" w:eastAsiaTheme="minorEastAsia" w:hAnsiTheme="minorEastAsia"/>
          <w:b/>
          <w:sz w:val="21"/>
          <w:szCs w:val="21"/>
          <w:shd w:val="clear" w:color="auto" w:fill="FFFFFF"/>
        </w:rPr>
        <w:t xml:space="preserve"> </w:t>
      </w:r>
      <w:r w:rsidRPr="00FC53F0">
        <w:rPr>
          <w:rFonts w:asciiTheme="minorEastAsia" w:eastAsiaTheme="minorEastAsia" w:hAnsiTheme="minorEastAsia" w:hint="eastAsia"/>
          <w:b/>
          <w:sz w:val="21"/>
          <w:szCs w:val="21"/>
          <w:shd w:val="clear" w:color="auto" w:fill="FFFFFF"/>
        </w:rPr>
        <w:t>现有地价方法评估适用性分析</w:t>
      </w:r>
    </w:p>
    <w:tbl>
      <w:tblPr>
        <w:tblStyle w:val="af2"/>
        <w:tblW w:w="0" w:type="auto"/>
        <w:tblLook w:val="04A0" w:firstRow="1" w:lastRow="0" w:firstColumn="1" w:lastColumn="0" w:noHBand="0" w:noVBand="1"/>
      </w:tblPr>
      <w:tblGrid>
        <w:gridCol w:w="1349"/>
        <w:gridCol w:w="1663"/>
        <w:gridCol w:w="2072"/>
        <w:gridCol w:w="3222"/>
      </w:tblGrid>
      <w:tr w:rsidR="00FC53F0" w:rsidRPr="00FC53F0">
        <w:tc>
          <w:tcPr>
            <w:tcW w:w="1384" w:type="dxa"/>
            <w:tcBorders>
              <w:top w:val="single" w:sz="8" w:space="0" w:color="auto"/>
              <w:left w:val="nil"/>
              <w:bottom w:val="single" w:sz="6" w:space="0" w:color="auto"/>
              <w:right w:val="nil"/>
            </w:tcBorders>
          </w:tcPr>
          <w:p w:rsidR="00F5516E" w:rsidRPr="00FC53F0" w:rsidRDefault="00F5516E">
            <w:pPr>
              <w:spacing w:line="288" w:lineRule="auto"/>
              <w:outlineLvl w:val="2"/>
              <w:rPr>
                <w:rFonts w:ascii="Times New Roman" w:hAnsi="Times New Roman"/>
                <w:szCs w:val="21"/>
                <w:shd w:val="clear" w:color="auto" w:fill="FFFFFF"/>
              </w:rPr>
            </w:pPr>
          </w:p>
        </w:tc>
        <w:tc>
          <w:tcPr>
            <w:tcW w:w="1701" w:type="dxa"/>
            <w:tcBorders>
              <w:top w:val="single" w:sz="8" w:space="0" w:color="auto"/>
              <w:left w:val="nil"/>
              <w:bottom w:val="single" w:sz="6" w:space="0" w:color="auto"/>
              <w:right w:val="nil"/>
            </w:tcBorders>
          </w:tcPr>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优势</w:t>
            </w:r>
          </w:p>
        </w:tc>
        <w:tc>
          <w:tcPr>
            <w:tcW w:w="2126" w:type="dxa"/>
            <w:tcBorders>
              <w:top w:val="single" w:sz="8" w:space="0" w:color="auto"/>
              <w:left w:val="nil"/>
              <w:bottom w:val="single" w:sz="6" w:space="0" w:color="auto"/>
              <w:right w:val="nil"/>
            </w:tcBorders>
          </w:tcPr>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劣势</w:t>
            </w:r>
          </w:p>
        </w:tc>
        <w:tc>
          <w:tcPr>
            <w:tcW w:w="3311" w:type="dxa"/>
            <w:tcBorders>
              <w:top w:val="single" w:sz="8" w:space="0" w:color="auto"/>
              <w:left w:val="nil"/>
              <w:bottom w:val="single" w:sz="6" w:space="0" w:color="auto"/>
              <w:right w:val="nil"/>
            </w:tcBorders>
          </w:tcPr>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使用范围</w:t>
            </w:r>
          </w:p>
        </w:tc>
      </w:tr>
      <w:tr w:rsidR="00FC53F0" w:rsidRPr="00FC53F0">
        <w:tc>
          <w:tcPr>
            <w:tcW w:w="1384" w:type="dxa"/>
            <w:tcBorders>
              <w:top w:val="single" w:sz="6" w:space="0" w:color="auto"/>
              <w:left w:val="nil"/>
              <w:bottom w:val="single" w:sz="6" w:space="0" w:color="auto"/>
              <w:right w:val="nil"/>
            </w:tcBorders>
          </w:tcPr>
          <w:p w:rsidR="00F5516E" w:rsidRPr="00FC53F0" w:rsidRDefault="00F5516E">
            <w:pPr>
              <w:spacing w:line="288" w:lineRule="auto"/>
              <w:jc w:val="center"/>
              <w:outlineLvl w:val="2"/>
              <w:rPr>
                <w:rFonts w:ascii="Times New Roman" w:hAnsi="Times New Roman"/>
                <w:szCs w:val="21"/>
                <w:shd w:val="clear" w:color="auto" w:fill="FFFFFF"/>
              </w:rPr>
            </w:pPr>
          </w:p>
          <w:p w:rsidR="00F5516E" w:rsidRPr="00FC53F0" w:rsidRDefault="00F5516E">
            <w:pPr>
              <w:spacing w:line="288" w:lineRule="auto"/>
              <w:jc w:val="center"/>
              <w:outlineLvl w:val="2"/>
              <w:rPr>
                <w:rFonts w:ascii="Times New Roman" w:hAnsi="Times New Roman"/>
                <w:szCs w:val="21"/>
                <w:shd w:val="clear" w:color="auto" w:fill="FFFFFF"/>
              </w:rPr>
            </w:pPr>
          </w:p>
          <w:p w:rsidR="00F5516E" w:rsidRPr="00FC53F0" w:rsidRDefault="00F5516E">
            <w:pPr>
              <w:spacing w:line="288" w:lineRule="auto"/>
              <w:outlineLvl w:val="2"/>
              <w:rPr>
                <w:rFonts w:ascii="Times New Roman" w:hAnsi="Times New Roman"/>
                <w:szCs w:val="21"/>
                <w:shd w:val="clear" w:color="auto" w:fill="FFFFFF"/>
              </w:rPr>
            </w:pP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市</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场</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比</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较</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法</w:t>
            </w:r>
          </w:p>
        </w:tc>
        <w:tc>
          <w:tcPr>
            <w:tcW w:w="1701" w:type="dxa"/>
            <w:tcBorders>
              <w:top w:val="single" w:sz="6" w:space="0" w:color="auto"/>
              <w:left w:val="nil"/>
              <w:bottom w:val="single" w:sz="6" w:space="0" w:color="auto"/>
              <w:right w:val="nil"/>
            </w:tcBorders>
          </w:tcPr>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1.</w:t>
            </w:r>
            <w:r w:rsidRPr="00FC53F0">
              <w:rPr>
                <w:rFonts w:ascii="Times New Roman" w:hAnsi="Times New Roman" w:hint="eastAsia"/>
                <w:szCs w:val="21"/>
                <w:shd w:val="clear" w:color="auto" w:fill="FFFFFF"/>
              </w:rPr>
              <w:t>贴近市场，能准确反映估价对象的真实价值；</w:t>
            </w:r>
          </w:p>
          <w:p w:rsidR="00F5516E" w:rsidRPr="00FC53F0" w:rsidRDefault="0071268E">
            <w:pPr>
              <w:rPr>
                <w:shd w:val="clear" w:color="auto" w:fill="FFFFFF"/>
              </w:rPr>
            </w:pPr>
            <w:r w:rsidRPr="00FC53F0">
              <w:rPr>
                <w:rFonts w:ascii="Times New Roman" w:hAnsi="Times New Roman"/>
                <w:szCs w:val="21"/>
                <w:shd w:val="clear" w:color="auto" w:fill="FFFFFF"/>
              </w:rPr>
              <w:t>2.</w:t>
            </w:r>
            <w:r w:rsidRPr="00FC53F0">
              <w:rPr>
                <w:rFonts w:ascii="Times New Roman" w:hAnsi="Times New Roman" w:hint="eastAsia"/>
                <w:szCs w:val="21"/>
                <w:shd w:val="clear" w:color="auto" w:fill="FFFFFF"/>
              </w:rPr>
              <w:t>测算方法简便，简单易懂，容易被报告使用者接受。</w:t>
            </w:r>
          </w:p>
        </w:tc>
        <w:tc>
          <w:tcPr>
            <w:tcW w:w="2126" w:type="dxa"/>
            <w:tcBorders>
              <w:top w:val="single" w:sz="6" w:space="0" w:color="auto"/>
              <w:left w:val="nil"/>
              <w:bottom w:val="single" w:sz="6" w:space="0" w:color="auto"/>
              <w:right w:val="nil"/>
            </w:tcBorders>
          </w:tcPr>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1.</w:t>
            </w:r>
            <w:r w:rsidRPr="00FC53F0">
              <w:rPr>
                <w:rFonts w:ascii="Times New Roman" w:hAnsi="Times New Roman" w:hint="eastAsia"/>
                <w:szCs w:val="21"/>
                <w:shd w:val="clear" w:color="auto" w:fill="FFFFFF"/>
              </w:rPr>
              <w:t>无法获得真实的市场成交案例；</w:t>
            </w:r>
          </w:p>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2</w:t>
            </w:r>
            <w:r w:rsidRPr="00FC53F0">
              <w:rPr>
                <w:rFonts w:ascii="Times New Roman" w:hAnsi="Times New Roman"/>
                <w:szCs w:val="21"/>
                <w:shd w:val="clear" w:color="auto" w:fill="FFFFFF"/>
              </w:rPr>
              <w:t>.</w:t>
            </w:r>
            <w:r w:rsidRPr="00FC53F0">
              <w:rPr>
                <w:rFonts w:ascii="Times New Roman" w:hAnsi="Times New Roman" w:hint="eastAsia"/>
                <w:szCs w:val="21"/>
                <w:shd w:val="clear" w:color="auto" w:fill="FFFFFF"/>
              </w:rPr>
              <w:t>对于市场成交不活跃地区难以</w:t>
            </w:r>
            <w:r w:rsidR="000F49E7" w:rsidRPr="00FC53F0">
              <w:rPr>
                <w:rFonts w:ascii="Times New Roman" w:hAnsi="Times New Roman" w:hint="eastAsia"/>
                <w:szCs w:val="21"/>
                <w:shd w:val="clear" w:color="auto" w:fill="FFFFFF"/>
              </w:rPr>
              <w:t>适</w:t>
            </w:r>
            <w:r w:rsidRPr="00FC53F0">
              <w:rPr>
                <w:rFonts w:ascii="Times New Roman" w:hAnsi="Times New Roman" w:hint="eastAsia"/>
                <w:szCs w:val="21"/>
                <w:shd w:val="clear" w:color="auto" w:fill="FFFFFF"/>
              </w:rPr>
              <w:t>用。</w:t>
            </w:r>
          </w:p>
        </w:tc>
        <w:tc>
          <w:tcPr>
            <w:tcW w:w="3311" w:type="dxa"/>
            <w:tcBorders>
              <w:top w:val="single" w:sz="6" w:space="0" w:color="auto"/>
              <w:left w:val="nil"/>
              <w:bottom w:val="single" w:sz="6" w:space="0" w:color="auto"/>
              <w:right w:val="nil"/>
            </w:tcBorders>
          </w:tcPr>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1</w:t>
            </w:r>
            <w:r w:rsidRPr="00FC53F0">
              <w:rPr>
                <w:rFonts w:ascii="Times New Roman" w:hAnsi="Times New Roman"/>
                <w:szCs w:val="21"/>
                <w:shd w:val="clear" w:color="auto" w:fill="FFFFFF"/>
              </w:rPr>
              <w:t>.</w:t>
            </w:r>
            <w:r w:rsidRPr="00FC53F0">
              <w:rPr>
                <w:rFonts w:ascii="Times New Roman" w:hAnsi="Times New Roman" w:hint="eastAsia"/>
                <w:szCs w:val="21"/>
                <w:shd w:val="clear" w:color="auto" w:fill="FFFFFF"/>
              </w:rPr>
              <w:t>土地市场必须是发育健全的；</w:t>
            </w:r>
          </w:p>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2</w:t>
            </w:r>
            <w:r w:rsidRPr="00FC53F0">
              <w:rPr>
                <w:rFonts w:ascii="Times New Roman" w:hAnsi="Times New Roman"/>
                <w:szCs w:val="21"/>
                <w:shd w:val="clear" w:color="auto" w:fill="FFFFFF"/>
              </w:rPr>
              <w:t>.</w:t>
            </w:r>
            <w:r w:rsidRPr="00FC53F0">
              <w:rPr>
                <w:rFonts w:ascii="Times New Roman" w:hAnsi="Times New Roman" w:hint="eastAsia"/>
                <w:szCs w:val="21"/>
                <w:shd w:val="clear" w:color="auto" w:fill="FFFFFF"/>
              </w:rPr>
              <w:t>需有较为丰富的交易案例资料，比较实例数量应达到</w:t>
            </w:r>
            <w:r w:rsidRPr="00FC53F0">
              <w:rPr>
                <w:rFonts w:ascii="Times New Roman" w:hAnsi="Times New Roman" w:hint="eastAsia"/>
                <w:szCs w:val="21"/>
                <w:shd w:val="clear" w:color="auto" w:fill="FFFFFF"/>
              </w:rPr>
              <w:t>3</w:t>
            </w:r>
            <w:r w:rsidRPr="00FC53F0">
              <w:rPr>
                <w:rFonts w:ascii="Times New Roman" w:hAnsi="Times New Roman" w:hint="eastAsia"/>
                <w:szCs w:val="21"/>
                <w:shd w:val="clear" w:color="auto" w:fill="FFFFFF"/>
              </w:rPr>
              <w:t>个以上（含</w:t>
            </w:r>
            <w:r w:rsidRPr="00FC53F0">
              <w:rPr>
                <w:rFonts w:ascii="Times New Roman" w:hAnsi="Times New Roman" w:hint="eastAsia"/>
                <w:szCs w:val="21"/>
                <w:shd w:val="clear" w:color="auto" w:fill="FFFFFF"/>
              </w:rPr>
              <w:t>3</w:t>
            </w:r>
            <w:r w:rsidRPr="00FC53F0">
              <w:rPr>
                <w:rFonts w:ascii="Times New Roman" w:hAnsi="Times New Roman" w:hint="eastAsia"/>
                <w:szCs w:val="21"/>
                <w:shd w:val="clear" w:color="auto" w:fill="FFFFFF"/>
              </w:rPr>
              <w:t>个），且估价期日</w:t>
            </w:r>
            <w:proofErr w:type="gramStart"/>
            <w:r w:rsidRPr="00FC53F0">
              <w:rPr>
                <w:rFonts w:ascii="Times New Roman" w:hAnsi="Times New Roman" w:hint="eastAsia"/>
                <w:szCs w:val="21"/>
                <w:shd w:val="clear" w:color="auto" w:fill="FFFFFF"/>
              </w:rPr>
              <w:t>距比较</w:t>
            </w:r>
            <w:proofErr w:type="gramEnd"/>
            <w:r w:rsidRPr="00FC53F0">
              <w:rPr>
                <w:rFonts w:ascii="Times New Roman" w:hAnsi="Times New Roman" w:hint="eastAsia"/>
                <w:szCs w:val="21"/>
                <w:shd w:val="clear" w:color="auto" w:fill="FFFFFF"/>
              </w:rPr>
              <w:t>实例的交易日原则上不超过</w:t>
            </w:r>
            <w:r w:rsidRPr="00FC53F0">
              <w:rPr>
                <w:rFonts w:ascii="Times New Roman" w:hAnsi="Times New Roman" w:hint="eastAsia"/>
                <w:szCs w:val="21"/>
                <w:shd w:val="clear" w:color="auto" w:fill="FFFFFF"/>
              </w:rPr>
              <w:t>3</w:t>
            </w:r>
            <w:r w:rsidRPr="00FC53F0">
              <w:rPr>
                <w:rFonts w:ascii="Times New Roman" w:hAnsi="Times New Roman" w:hint="eastAsia"/>
                <w:szCs w:val="21"/>
                <w:shd w:val="clear" w:color="auto" w:fill="FFFFFF"/>
              </w:rPr>
              <w:t>年；</w:t>
            </w:r>
          </w:p>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3</w:t>
            </w:r>
            <w:r w:rsidRPr="00FC53F0">
              <w:rPr>
                <w:rFonts w:ascii="Times New Roman" w:hAnsi="Times New Roman"/>
                <w:szCs w:val="21"/>
                <w:shd w:val="clear" w:color="auto" w:fill="FFFFFF"/>
              </w:rPr>
              <w:t>.</w:t>
            </w:r>
            <w:r w:rsidRPr="00FC53F0">
              <w:rPr>
                <w:rFonts w:ascii="Times New Roman" w:hAnsi="Times New Roman" w:hint="eastAsia"/>
                <w:szCs w:val="21"/>
                <w:shd w:val="clear" w:color="auto" w:fill="FFFFFF"/>
              </w:rPr>
              <w:t>比较实例与估价宗地条件的相似性大于差异性，</w:t>
            </w:r>
            <w:r w:rsidRPr="00FC53F0">
              <w:rPr>
                <w:rFonts w:ascii="Times New Roman" w:hAnsi="Times New Roman"/>
                <w:szCs w:val="21"/>
                <w:shd w:val="clear" w:color="auto" w:fill="FFFFFF"/>
              </w:rPr>
              <w:t>选择的比较实例应该为用途与</w:t>
            </w:r>
            <w:proofErr w:type="gramStart"/>
            <w:r w:rsidRPr="00FC53F0">
              <w:rPr>
                <w:rFonts w:ascii="Times New Roman" w:hAnsi="Times New Roman"/>
                <w:szCs w:val="21"/>
                <w:shd w:val="clear" w:color="auto" w:fill="FFFFFF"/>
              </w:rPr>
              <w:t>待估宗</w:t>
            </w:r>
            <w:proofErr w:type="gramEnd"/>
            <w:r w:rsidRPr="00FC53F0">
              <w:rPr>
                <w:rFonts w:ascii="Times New Roman" w:hAnsi="Times New Roman"/>
                <w:szCs w:val="21"/>
                <w:shd w:val="clear" w:color="auto" w:fill="FFFFFF"/>
              </w:rPr>
              <w:t>地用途相同，土地条件基本一致，属同一供需圈内（同一均质区域内或完全</w:t>
            </w:r>
            <w:r w:rsidRPr="00FC53F0">
              <w:rPr>
                <w:rFonts w:ascii="Times New Roman" w:hAnsi="Times New Roman"/>
                <w:szCs w:val="21"/>
                <w:shd w:val="clear" w:color="auto" w:fill="FFFFFF"/>
              </w:rPr>
              <w:lastRenderedPageBreak/>
              <w:t>市场）相邻地区或类似地区的正常（或可修正为正常）交易实例</w:t>
            </w:r>
            <w:r w:rsidRPr="00FC53F0">
              <w:rPr>
                <w:rFonts w:ascii="Times New Roman" w:hAnsi="Times New Roman" w:hint="eastAsia"/>
                <w:szCs w:val="21"/>
                <w:shd w:val="clear" w:color="auto" w:fill="FFFFFF"/>
              </w:rPr>
              <w:t>。</w:t>
            </w:r>
          </w:p>
        </w:tc>
      </w:tr>
      <w:tr w:rsidR="00FC53F0" w:rsidRPr="00FC53F0">
        <w:tc>
          <w:tcPr>
            <w:tcW w:w="1384" w:type="dxa"/>
            <w:tcBorders>
              <w:top w:val="single" w:sz="6" w:space="0" w:color="auto"/>
              <w:left w:val="nil"/>
              <w:bottom w:val="single" w:sz="6" w:space="0" w:color="auto"/>
              <w:right w:val="nil"/>
            </w:tcBorders>
          </w:tcPr>
          <w:p w:rsidR="00F5516E" w:rsidRPr="00FC53F0" w:rsidRDefault="00F5516E">
            <w:pPr>
              <w:spacing w:line="288" w:lineRule="auto"/>
              <w:outlineLvl w:val="2"/>
              <w:rPr>
                <w:rFonts w:ascii="Times New Roman" w:hAnsi="Times New Roman"/>
                <w:szCs w:val="21"/>
                <w:shd w:val="clear" w:color="auto" w:fill="FFFFFF"/>
              </w:rPr>
            </w:pPr>
          </w:p>
          <w:p w:rsidR="00F5516E" w:rsidRPr="00FC53F0" w:rsidRDefault="00F5516E">
            <w:pPr>
              <w:spacing w:line="288" w:lineRule="auto"/>
              <w:outlineLvl w:val="2"/>
              <w:rPr>
                <w:rFonts w:ascii="Times New Roman" w:hAnsi="Times New Roman"/>
                <w:szCs w:val="21"/>
                <w:shd w:val="clear" w:color="auto" w:fill="FFFFFF"/>
              </w:rPr>
            </w:pP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收</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益</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还</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原</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法</w:t>
            </w:r>
          </w:p>
        </w:tc>
        <w:tc>
          <w:tcPr>
            <w:tcW w:w="1701" w:type="dxa"/>
            <w:tcBorders>
              <w:top w:val="single" w:sz="6" w:space="0" w:color="auto"/>
              <w:left w:val="nil"/>
              <w:bottom w:val="single" w:sz="6" w:space="0" w:color="auto"/>
              <w:right w:val="nil"/>
            </w:tcBorders>
          </w:tcPr>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1.</w:t>
            </w:r>
            <w:r w:rsidRPr="00FC53F0">
              <w:rPr>
                <w:rFonts w:ascii="Times New Roman" w:hAnsi="Times New Roman" w:hint="eastAsia"/>
                <w:szCs w:val="21"/>
                <w:shd w:val="clear" w:color="auto" w:fill="FFFFFF"/>
              </w:rPr>
              <w:t>能够真实或较准确的反映资本化的价值；</w:t>
            </w:r>
          </w:p>
          <w:p w:rsidR="00F5516E" w:rsidRPr="00FC53F0" w:rsidRDefault="0071268E">
            <w:pPr>
              <w:rPr>
                <w:shd w:val="clear" w:color="auto" w:fill="FFFFFF"/>
              </w:rPr>
            </w:pPr>
            <w:r w:rsidRPr="00FC53F0">
              <w:rPr>
                <w:rFonts w:ascii="Times New Roman" w:hAnsi="Times New Roman"/>
                <w:szCs w:val="21"/>
                <w:shd w:val="clear" w:color="auto" w:fill="FFFFFF"/>
              </w:rPr>
              <w:t>2.</w:t>
            </w:r>
            <w:r w:rsidRPr="00FC53F0">
              <w:rPr>
                <w:rFonts w:ascii="Times New Roman" w:hAnsi="Times New Roman" w:hint="eastAsia"/>
                <w:szCs w:val="21"/>
                <w:shd w:val="clear" w:color="auto" w:fill="FFFFFF"/>
              </w:rPr>
              <w:t>评估的资产价值易被买卖双方所接受。</w:t>
            </w:r>
          </w:p>
        </w:tc>
        <w:tc>
          <w:tcPr>
            <w:tcW w:w="2126" w:type="dxa"/>
            <w:tcBorders>
              <w:top w:val="single" w:sz="6" w:space="0" w:color="auto"/>
              <w:left w:val="nil"/>
              <w:bottom w:val="single" w:sz="6" w:space="0" w:color="auto"/>
              <w:right w:val="nil"/>
            </w:tcBorders>
          </w:tcPr>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1</w:t>
            </w:r>
            <w:r w:rsidRPr="00FC53F0">
              <w:rPr>
                <w:rFonts w:ascii="Times New Roman" w:hAnsi="Times New Roman"/>
                <w:szCs w:val="21"/>
                <w:shd w:val="clear" w:color="auto" w:fill="FFFFFF"/>
              </w:rPr>
              <w:t>.</w:t>
            </w:r>
            <w:r w:rsidRPr="00FC53F0">
              <w:rPr>
                <w:rFonts w:ascii="Times New Roman" w:hAnsi="Times New Roman" w:hint="eastAsia"/>
                <w:szCs w:val="21"/>
                <w:shd w:val="clear" w:color="auto" w:fill="FFFFFF"/>
              </w:rPr>
              <w:t>预期收益预测难度较大，受较强的主观判断和未来不可预见因素的影响；</w:t>
            </w:r>
          </w:p>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2</w:t>
            </w:r>
            <w:r w:rsidRPr="00FC53F0">
              <w:rPr>
                <w:rFonts w:ascii="Times New Roman" w:hAnsi="Times New Roman"/>
                <w:szCs w:val="21"/>
                <w:shd w:val="clear" w:color="auto" w:fill="FFFFFF"/>
              </w:rPr>
              <w:t>.</w:t>
            </w:r>
            <w:r w:rsidRPr="00FC53F0">
              <w:rPr>
                <w:rFonts w:ascii="Times New Roman" w:hAnsi="Times New Roman" w:hint="eastAsia"/>
                <w:szCs w:val="21"/>
                <w:shd w:val="clear" w:color="auto" w:fill="FFFFFF"/>
              </w:rPr>
              <w:t>评估过程中适用范围较小，一般适用企业整体资产和</w:t>
            </w:r>
            <w:proofErr w:type="gramStart"/>
            <w:r w:rsidRPr="00FC53F0">
              <w:rPr>
                <w:rFonts w:ascii="Times New Roman" w:hAnsi="Times New Roman" w:hint="eastAsia"/>
                <w:szCs w:val="21"/>
                <w:shd w:val="clear" w:color="auto" w:fill="FFFFFF"/>
              </w:rPr>
              <w:t>可</w:t>
            </w:r>
            <w:proofErr w:type="gramEnd"/>
            <w:r w:rsidRPr="00FC53F0">
              <w:rPr>
                <w:rFonts w:ascii="Times New Roman" w:hAnsi="Times New Roman" w:hint="eastAsia"/>
                <w:szCs w:val="21"/>
                <w:shd w:val="clear" w:color="auto" w:fill="FFFFFF"/>
              </w:rPr>
              <w:t>预测未来收益的单项资产的评估。</w:t>
            </w:r>
          </w:p>
        </w:tc>
        <w:tc>
          <w:tcPr>
            <w:tcW w:w="3311" w:type="dxa"/>
            <w:tcBorders>
              <w:top w:val="single" w:sz="6" w:space="0" w:color="auto"/>
              <w:left w:val="nil"/>
              <w:bottom w:val="single" w:sz="6" w:space="0" w:color="auto"/>
              <w:right w:val="nil"/>
            </w:tcBorders>
          </w:tcPr>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1</w:t>
            </w:r>
            <w:r w:rsidRPr="00FC53F0">
              <w:rPr>
                <w:rFonts w:ascii="Times New Roman" w:hAnsi="Times New Roman"/>
                <w:szCs w:val="21"/>
                <w:shd w:val="clear" w:color="auto" w:fill="FFFFFF"/>
              </w:rPr>
              <w:t>.</w:t>
            </w:r>
            <w:r w:rsidRPr="00FC53F0">
              <w:rPr>
                <w:rFonts w:ascii="Times New Roman" w:hAnsi="Times New Roman" w:hint="eastAsia"/>
                <w:szCs w:val="21"/>
                <w:shd w:val="clear" w:color="auto" w:fill="FFFFFF"/>
              </w:rPr>
              <w:t>此方法评估土地价格时，土地市场必须是完全交易市场，市场化程度较高，交易案例丰富；</w:t>
            </w:r>
          </w:p>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2</w:t>
            </w:r>
            <w:r w:rsidRPr="00FC53F0">
              <w:rPr>
                <w:rFonts w:ascii="Times New Roman" w:hAnsi="Times New Roman"/>
                <w:szCs w:val="21"/>
                <w:shd w:val="clear" w:color="auto" w:fill="FFFFFF"/>
              </w:rPr>
              <w:t>.</w:t>
            </w:r>
            <w:r w:rsidRPr="00FC53F0">
              <w:rPr>
                <w:rFonts w:ascii="Times New Roman" w:hAnsi="Times New Roman" w:hint="eastAsia"/>
                <w:szCs w:val="21"/>
                <w:shd w:val="clear" w:color="auto" w:fill="FFFFFF"/>
              </w:rPr>
              <w:t>适用于具有正常客观收益或拥有潜在收益的土地评估。</w:t>
            </w:r>
          </w:p>
        </w:tc>
      </w:tr>
      <w:tr w:rsidR="00FC53F0" w:rsidRPr="00FC53F0">
        <w:tc>
          <w:tcPr>
            <w:tcW w:w="1384" w:type="dxa"/>
            <w:tcBorders>
              <w:top w:val="single" w:sz="6" w:space="0" w:color="auto"/>
              <w:left w:val="nil"/>
              <w:bottom w:val="single" w:sz="6" w:space="0" w:color="auto"/>
              <w:right w:val="nil"/>
            </w:tcBorders>
          </w:tcPr>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成</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本</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逼</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近</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法</w:t>
            </w:r>
          </w:p>
        </w:tc>
        <w:tc>
          <w:tcPr>
            <w:tcW w:w="1701" w:type="dxa"/>
            <w:tcBorders>
              <w:top w:val="single" w:sz="6" w:space="0" w:color="auto"/>
              <w:left w:val="nil"/>
              <w:bottom w:val="single" w:sz="6" w:space="0" w:color="auto"/>
              <w:right w:val="nil"/>
            </w:tcBorders>
          </w:tcPr>
          <w:p w:rsidR="00F5516E" w:rsidRPr="00FC53F0" w:rsidRDefault="00F5516E">
            <w:pPr>
              <w:spacing w:line="288" w:lineRule="auto"/>
              <w:outlineLvl w:val="2"/>
              <w:rPr>
                <w:rFonts w:ascii="Times New Roman" w:hAnsi="Times New Roman"/>
                <w:szCs w:val="21"/>
                <w:shd w:val="clear" w:color="auto" w:fill="FFFFFF"/>
              </w:rPr>
            </w:pPr>
          </w:p>
        </w:tc>
        <w:tc>
          <w:tcPr>
            <w:tcW w:w="2126" w:type="dxa"/>
            <w:tcBorders>
              <w:top w:val="single" w:sz="6" w:space="0" w:color="auto"/>
              <w:left w:val="nil"/>
              <w:bottom w:val="single" w:sz="6" w:space="0" w:color="auto"/>
              <w:right w:val="nil"/>
            </w:tcBorders>
          </w:tcPr>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由于土地价格大部分取决于效用，而非成本，故而结果有时会与市场产生偏差。</w:t>
            </w:r>
          </w:p>
        </w:tc>
        <w:tc>
          <w:tcPr>
            <w:tcW w:w="3311" w:type="dxa"/>
            <w:tcBorders>
              <w:top w:val="single" w:sz="6" w:space="0" w:color="auto"/>
              <w:left w:val="nil"/>
              <w:bottom w:val="single" w:sz="6" w:space="0" w:color="auto"/>
              <w:right w:val="nil"/>
            </w:tcBorders>
          </w:tcPr>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1.</w:t>
            </w:r>
            <w:r w:rsidRPr="00FC53F0">
              <w:rPr>
                <w:rFonts w:ascii="Times New Roman" w:hAnsi="Times New Roman" w:hint="eastAsia"/>
                <w:szCs w:val="21"/>
                <w:shd w:val="clear" w:color="auto" w:fill="FFFFFF"/>
              </w:rPr>
              <w:t>新开发的市场发育不完全的土地；</w:t>
            </w:r>
          </w:p>
          <w:p w:rsidR="00F5516E" w:rsidRPr="00FC53F0" w:rsidRDefault="0071268E">
            <w:pPr>
              <w:rPr>
                <w:shd w:val="clear" w:color="auto" w:fill="FFFFFF"/>
              </w:rPr>
            </w:pPr>
            <w:r w:rsidRPr="00FC53F0">
              <w:rPr>
                <w:rFonts w:ascii="Times New Roman" w:hAnsi="Times New Roman"/>
                <w:szCs w:val="21"/>
                <w:shd w:val="clear" w:color="auto" w:fill="FFFFFF"/>
              </w:rPr>
              <w:t>2.</w:t>
            </w:r>
            <w:r w:rsidRPr="00FC53F0">
              <w:rPr>
                <w:rFonts w:ascii="Times New Roman" w:hAnsi="Times New Roman" w:hint="eastAsia"/>
                <w:szCs w:val="21"/>
                <w:shd w:val="clear" w:color="auto" w:fill="FFFFFF"/>
              </w:rPr>
              <w:t>适用于评估工业用地价格，不适合评估商、住用地。</w:t>
            </w:r>
          </w:p>
        </w:tc>
      </w:tr>
      <w:tr w:rsidR="00FC53F0" w:rsidRPr="00FC53F0">
        <w:trPr>
          <w:trHeight w:val="1835"/>
        </w:trPr>
        <w:tc>
          <w:tcPr>
            <w:tcW w:w="1384" w:type="dxa"/>
            <w:tcBorders>
              <w:top w:val="single" w:sz="6" w:space="0" w:color="auto"/>
              <w:left w:val="nil"/>
              <w:bottom w:val="single" w:sz="8" w:space="0" w:color="auto"/>
              <w:right w:val="nil"/>
            </w:tcBorders>
          </w:tcPr>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假</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设</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开</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发</w:t>
            </w:r>
          </w:p>
          <w:p w:rsidR="00F5516E" w:rsidRPr="00FC53F0" w:rsidRDefault="0071268E">
            <w:pPr>
              <w:spacing w:line="288" w:lineRule="auto"/>
              <w:jc w:val="center"/>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法</w:t>
            </w:r>
          </w:p>
        </w:tc>
        <w:tc>
          <w:tcPr>
            <w:tcW w:w="1701" w:type="dxa"/>
            <w:tcBorders>
              <w:top w:val="single" w:sz="6" w:space="0" w:color="auto"/>
              <w:left w:val="nil"/>
              <w:bottom w:val="single" w:sz="8" w:space="0" w:color="auto"/>
              <w:right w:val="nil"/>
            </w:tcBorders>
          </w:tcPr>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1.</w:t>
            </w:r>
            <w:r w:rsidRPr="00FC53F0">
              <w:rPr>
                <w:rFonts w:ascii="Times New Roman" w:hAnsi="Times New Roman" w:hint="eastAsia"/>
                <w:szCs w:val="21"/>
                <w:shd w:val="clear" w:color="auto" w:fill="FFFFFF"/>
              </w:rPr>
              <w:t>能较充分的考虑各种损耗，评估结果更趋于公平合理；</w:t>
            </w:r>
          </w:p>
          <w:p w:rsidR="00F5516E" w:rsidRPr="00FC53F0" w:rsidRDefault="0071268E">
            <w:pPr>
              <w:rPr>
                <w:shd w:val="clear" w:color="auto" w:fill="FFFFFF"/>
              </w:rPr>
            </w:pPr>
            <w:r w:rsidRPr="00FC53F0">
              <w:rPr>
                <w:rFonts w:ascii="Times New Roman" w:hAnsi="Times New Roman"/>
                <w:szCs w:val="21"/>
                <w:shd w:val="clear" w:color="auto" w:fill="FFFFFF"/>
              </w:rPr>
              <w:t>2.</w:t>
            </w:r>
            <w:r w:rsidRPr="00FC53F0">
              <w:rPr>
                <w:rFonts w:ascii="Times New Roman" w:hAnsi="Times New Roman" w:hint="eastAsia"/>
                <w:szCs w:val="21"/>
                <w:shd w:val="clear" w:color="auto" w:fill="FFFFFF"/>
              </w:rPr>
              <w:t>使用范围广泛。</w:t>
            </w:r>
          </w:p>
        </w:tc>
        <w:tc>
          <w:tcPr>
            <w:tcW w:w="2126" w:type="dxa"/>
            <w:tcBorders>
              <w:top w:val="single" w:sz="6" w:space="0" w:color="auto"/>
              <w:left w:val="nil"/>
              <w:bottom w:val="single" w:sz="8" w:space="0" w:color="auto"/>
              <w:right w:val="nil"/>
            </w:tcBorders>
          </w:tcPr>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1</w:t>
            </w:r>
            <w:r w:rsidRPr="00FC53F0">
              <w:rPr>
                <w:rFonts w:ascii="Times New Roman" w:hAnsi="Times New Roman"/>
                <w:szCs w:val="21"/>
                <w:shd w:val="clear" w:color="auto" w:fill="FFFFFF"/>
              </w:rPr>
              <w:t>.</w:t>
            </w:r>
            <w:r w:rsidRPr="00FC53F0">
              <w:rPr>
                <w:rFonts w:ascii="Times New Roman" w:hAnsi="Times New Roman" w:hint="eastAsia"/>
                <w:szCs w:val="21"/>
                <w:shd w:val="clear" w:color="auto" w:fill="FFFFFF"/>
              </w:rPr>
              <w:t>计算复杂，工作量大；</w:t>
            </w:r>
          </w:p>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2</w:t>
            </w:r>
            <w:r w:rsidRPr="00FC53F0">
              <w:rPr>
                <w:rFonts w:ascii="Times New Roman" w:hAnsi="Times New Roman"/>
                <w:szCs w:val="21"/>
                <w:shd w:val="clear" w:color="auto" w:fill="FFFFFF"/>
              </w:rPr>
              <w:t>.</w:t>
            </w:r>
            <w:r w:rsidRPr="00FC53F0">
              <w:rPr>
                <w:rFonts w:ascii="Times New Roman" w:hAnsi="Times New Roman" w:hint="eastAsia"/>
                <w:szCs w:val="21"/>
                <w:shd w:val="clear" w:color="auto" w:fill="FFFFFF"/>
              </w:rPr>
              <w:t>对于评估过程中的各种贬值不易计算，难以把握，往往影响评估结果的准确性。</w:t>
            </w:r>
          </w:p>
        </w:tc>
        <w:tc>
          <w:tcPr>
            <w:tcW w:w="3311" w:type="dxa"/>
            <w:tcBorders>
              <w:top w:val="single" w:sz="6" w:space="0" w:color="auto"/>
              <w:left w:val="nil"/>
              <w:bottom w:val="single" w:sz="8" w:space="0" w:color="auto"/>
              <w:right w:val="nil"/>
            </w:tcBorders>
          </w:tcPr>
          <w:p w:rsidR="00F5516E" w:rsidRPr="00FC53F0" w:rsidRDefault="0071268E">
            <w:pPr>
              <w:spacing w:line="288" w:lineRule="auto"/>
              <w:outlineLvl w:val="2"/>
              <w:rPr>
                <w:rFonts w:ascii="Times New Roman" w:hAnsi="Times New Roman"/>
                <w:szCs w:val="21"/>
                <w:shd w:val="clear" w:color="auto" w:fill="FFFFFF"/>
              </w:rPr>
            </w:pPr>
            <w:r w:rsidRPr="00FC53F0">
              <w:rPr>
                <w:rFonts w:ascii="Times New Roman" w:hAnsi="Times New Roman" w:hint="eastAsia"/>
                <w:szCs w:val="21"/>
                <w:shd w:val="clear" w:color="auto" w:fill="FFFFFF"/>
              </w:rPr>
              <w:t>适用于未开发土地、待拆迁改造后再开发房地产、仅将土地或房产整理成可利用</w:t>
            </w:r>
            <w:r w:rsidRPr="00FC53F0">
              <w:rPr>
                <w:rFonts w:ascii="Times New Roman" w:hAnsi="Times New Roman"/>
                <w:szCs w:val="21"/>
                <w:shd w:val="clear" w:color="auto" w:fill="FFFFFF"/>
              </w:rPr>
              <w:t>或现有新旧房地产中单独评估的土地或房地产评估测算</w:t>
            </w:r>
            <w:r w:rsidRPr="00FC53F0">
              <w:rPr>
                <w:rFonts w:ascii="Times New Roman" w:hAnsi="Times New Roman" w:hint="eastAsia"/>
                <w:szCs w:val="21"/>
                <w:shd w:val="clear" w:color="auto" w:fill="FFFFFF"/>
              </w:rPr>
              <w:t>。</w:t>
            </w:r>
          </w:p>
        </w:tc>
      </w:tr>
    </w:tbl>
    <w:p w:rsidR="00F5516E" w:rsidRPr="00FC53F0" w:rsidRDefault="0071268E" w:rsidP="00026C6C">
      <w:pPr>
        <w:spacing w:before="240" w:line="360" w:lineRule="auto"/>
        <w:rPr>
          <w:rFonts w:asciiTheme="minorEastAsia" w:eastAsiaTheme="minorEastAsia" w:hAnsiTheme="minorEastAsia"/>
          <w:b/>
          <w:sz w:val="21"/>
          <w:szCs w:val="21"/>
          <w:shd w:val="clear" w:color="auto" w:fill="FFFFFF"/>
        </w:rPr>
      </w:pPr>
      <w:r w:rsidRPr="00FC53F0">
        <w:rPr>
          <w:rFonts w:asciiTheme="minorEastAsia" w:eastAsiaTheme="minorEastAsia" w:hAnsiTheme="minorEastAsia" w:hint="eastAsia"/>
          <w:b/>
          <w:sz w:val="21"/>
          <w:szCs w:val="21"/>
          <w:shd w:val="clear" w:color="auto" w:fill="FFFFFF"/>
        </w:rPr>
        <w:t>1</w:t>
      </w:r>
      <w:r w:rsidRPr="00FC53F0">
        <w:rPr>
          <w:rFonts w:asciiTheme="minorEastAsia" w:eastAsiaTheme="minorEastAsia" w:hAnsiTheme="minorEastAsia"/>
          <w:b/>
          <w:sz w:val="21"/>
          <w:szCs w:val="21"/>
          <w:shd w:val="clear" w:color="auto" w:fill="FFFFFF"/>
        </w:rPr>
        <w:t xml:space="preserve">.3.2 </w:t>
      </w:r>
      <w:r w:rsidRPr="00FC53F0">
        <w:rPr>
          <w:rFonts w:asciiTheme="minorEastAsia" w:eastAsiaTheme="minorEastAsia" w:hAnsiTheme="minorEastAsia" w:hint="eastAsia"/>
          <w:b/>
          <w:sz w:val="21"/>
          <w:szCs w:val="21"/>
          <w:shd w:val="clear" w:color="auto" w:fill="FFFFFF"/>
        </w:rPr>
        <w:t>基准地价系数修正法主要内容及优劣势</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基准地价系数修正法</w:t>
      </w:r>
      <w:r w:rsidR="003A6C77" w:rsidRPr="00FC53F0">
        <w:rPr>
          <w:rFonts w:asciiTheme="minorEastAsia" w:eastAsiaTheme="minorEastAsia" w:hAnsiTheme="minorEastAsia" w:cs="Arial"/>
          <w:sz w:val="21"/>
          <w:szCs w:val="21"/>
          <w:shd w:val="clear" w:color="auto" w:fill="FFFFFF"/>
        </w:rPr>
        <w:t>是</w:t>
      </w:r>
      <w:r w:rsidRPr="00FC53F0">
        <w:rPr>
          <w:rFonts w:asciiTheme="minorEastAsia" w:eastAsiaTheme="minorEastAsia" w:hAnsiTheme="minorEastAsia" w:cs="Arial"/>
          <w:sz w:val="21"/>
          <w:szCs w:val="21"/>
          <w:shd w:val="clear" w:color="auto" w:fill="FFFFFF"/>
        </w:rPr>
        <w:t>通过对待估宗</w:t>
      </w:r>
      <w:proofErr w:type="gramStart"/>
      <w:r w:rsidRPr="00FC53F0">
        <w:rPr>
          <w:rFonts w:asciiTheme="minorEastAsia" w:eastAsiaTheme="minorEastAsia" w:hAnsiTheme="minorEastAsia" w:cs="Arial"/>
          <w:sz w:val="21"/>
          <w:szCs w:val="21"/>
          <w:shd w:val="clear" w:color="auto" w:fill="FFFFFF"/>
        </w:rPr>
        <w:t>地</w:t>
      </w:r>
      <w:proofErr w:type="gramEnd"/>
      <w:r w:rsidRPr="00FC53F0">
        <w:rPr>
          <w:rFonts w:asciiTheme="minorEastAsia" w:eastAsiaTheme="minorEastAsia" w:hAnsiTheme="minorEastAsia" w:cs="Arial"/>
          <w:sz w:val="21"/>
          <w:szCs w:val="21"/>
          <w:shd w:val="clear" w:color="auto" w:fill="FFFFFF"/>
        </w:rPr>
        <w:t>地价影响因素的分析,利用宗地地价修正系数,对各城镇已公布的同类用途同级或同一区域土地基准地价进行修正,估算</w:t>
      </w:r>
      <w:proofErr w:type="gramStart"/>
      <w:r w:rsidRPr="00FC53F0">
        <w:rPr>
          <w:rFonts w:asciiTheme="minorEastAsia" w:eastAsiaTheme="minorEastAsia" w:hAnsiTheme="minorEastAsia" w:cs="Arial"/>
          <w:sz w:val="21"/>
          <w:szCs w:val="21"/>
          <w:shd w:val="clear" w:color="auto" w:fill="FFFFFF"/>
        </w:rPr>
        <w:t>待估宗</w:t>
      </w:r>
      <w:proofErr w:type="gramEnd"/>
      <w:r w:rsidRPr="00FC53F0">
        <w:rPr>
          <w:rFonts w:asciiTheme="minorEastAsia" w:eastAsiaTheme="minorEastAsia" w:hAnsiTheme="minorEastAsia" w:cs="Arial"/>
          <w:sz w:val="21"/>
          <w:szCs w:val="21"/>
          <w:shd w:val="clear" w:color="auto" w:fill="FFFFFF"/>
        </w:rPr>
        <w:t>地客观价格的方法</w:t>
      </w:r>
      <w:r w:rsidRPr="00FC53F0">
        <w:rPr>
          <w:rFonts w:asciiTheme="minorEastAsia" w:eastAsiaTheme="minorEastAsia" w:hAnsiTheme="minorEastAsia" w:cs="Arial" w:hint="eastAsia"/>
          <w:sz w:val="21"/>
          <w:szCs w:val="21"/>
          <w:shd w:val="clear" w:color="auto" w:fill="FFFFFF"/>
        </w:rPr>
        <w:t>。</w:t>
      </w:r>
      <w:r w:rsidRPr="00FC53F0">
        <w:rPr>
          <w:rFonts w:asciiTheme="minorEastAsia" w:eastAsiaTheme="minorEastAsia" w:hAnsiTheme="minorEastAsia"/>
          <w:sz w:val="21"/>
          <w:szCs w:val="21"/>
          <w:shd w:val="clear" w:color="auto" w:fill="FFFFFF"/>
        </w:rPr>
        <w:t>可用于政府已公布基准地价且具有完备的基准地价修正体系的区域，</w:t>
      </w:r>
      <w:r w:rsidRPr="00FC53F0">
        <w:rPr>
          <w:rFonts w:asciiTheme="minorEastAsia" w:eastAsiaTheme="minorEastAsia" w:hAnsiTheme="minorEastAsia" w:hint="eastAsia"/>
          <w:sz w:val="21"/>
          <w:szCs w:val="21"/>
          <w:shd w:val="clear" w:color="auto" w:fill="FFFFFF"/>
        </w:rPr>
        <w:t>在</w:t>
      </w:r>
      <w:r w:rsidRPr="00FC53F0">
        <w:rPr>
          <w:rFonts w:asciiTheme="minorEastAsia" w:eastAsiaTheme="minorEastAsia" w:hAnsiTheme="minorEastAsia"/>
          <w:sz w:val="21"/>
          <w:szCs w:val="21"/>
          <w:shd w:val="clear" w:color="auto" w:fill="FFFFFF"/>
        </w:rPr>
        <w:t>涉及国有土地资产处置或土地资产抵押时，所采用的基准地价应具有现势性，</w:t>
      </w:r>
      <w:proofErr w:type="gramStart"/>
      <w:r w:rsidRPr="00FC53F0">
        <w:rPr>
          <w:rFonts w:asciiTheme="minorEastAsia" w:eastAsiaTheme="minorEastAsia" w:hAnsiTheme="minorEastAsia"/>
          <w:sz w:val="21"/>
          <w:szCs w:val="21"/>
          <w:shd w:val="clear" w:color="auto" w:fill="FFFFFF"/>
        </w:rPr>
        <w:t>待估宗</w:t>
      </w:r>
      <w:proofErr w:type="gramEnd"/>
      <w:r w:rsidRPr="00FC53F0">
        <w:rPr>
          <w:rFonts w:asciiTheme="minorEastAsia" w:eastAsiaTheme="minorEastAsia" w:hAnsiTheme="minorEastAsia"/>
          <w:sz w:val="21"/>
          <w:szCs w:val="21"/>
          <w:shd w:val="clear" w:color="auto" w:fill="FFFFFF"/>
        </w:rPr>
        <w:t>地的</w:t>
      </w:r>
      <w:r w:rsidR="001F28DA" w:rsidRPr="00FC53F0">
        <w:rPr>
          <w:rFonts w:asciiTheme="minorEastAsia" w:eastAsiaTheme="minorEastAsia" w:hAnsiTheme="minorEastAsia" w:hint="eastAsia"/>
          <w:sz w:val="21"/>
          <w:szCs w:val="21"/>
          <w:shd w:val="clear" w:color="auto" w:fill="FFFFFF"/>
        </w:rPr>
        <w:t>估价</w:t>
      </w:r>
      <w:r w:rsidRPr="00FC53F0">
        <w:rPr>
          <w:rFonts w:asciiTheme="minorEastAsia" w:eastAsiaTheme="minorEastAsia" w:hAnsiTheme="minorEastAsia"/>
          <w:sz w:val="21"/>
          <w:szCs w:val="21"/>
          <w:shd w:val="clear" w:color="auto" w:fill="FFFFFF"/>
        </w:rPr>
        <w:t>期日距基准地价的期</w:t>
      </w:r>
      <w:proofErr w:type="gramStart"/>
      <w:r w:rsidRPr="00FC53F0">
        <w:rPr>
          <w:rFonts w:asciiTheme="minorEastAsia" w:eastAsiaTheme="minorEastAsia" w:hAnsiTheme="minorEastAsia"/>
          <w:sz w:val="21"/>
          <w:szCs w:val="21"/>
          <w:shd w:val="clear" w:color="auto" w:fill="FFFFFF"/>
        </w:rPr>
        <w:t>日一般</w:t>
      </w:r>
      <w:proofErr w:type="gramEnd"/>
      <w:r w:rsidRPr="00FC53F0">
        <w:rPr>
          <w:rFonts w:asciiTheme="minorEastAsia" w:eastAsiaTheme="minorEastAsia" w:hAnsiTheme="minorEastAsia"/>
          <w:sz w:val="21"/>
          <w:szCs w:val="21"/>
          <w:shd w:val="clear" w:color="auto" w:fill="FFFFFF"/>
        </w:rPr>
        <w:t>不超过3年。</w:t>
      </w:r>
      <w:proofErr w:type="gramStart"/>
      <w:r w:rsidRPr="00FC53F0">
        <w:rPr>
          <w:rFonts w:asciiTheme="minorEastAsia" w:eastAsiaTheme="minorEastAsia" w:hAnsiTheme="minorEastAsia"/>
          <w:sz w:val="21"/>
          <w:szCs w:val="21"/>
          <w:shd w:val="clear" w:color="auto" w:fill="FFFFFF"/>
        </w:rPr>
        <w:t>路线价</w:t>
      </w:r>
      <w:proofErr w:type="gramEnd"/>
      <w:r w:rsidRPr="00FC53F0">
        <w:rPr>
          <w:rFonts w:asciiTheme="minorEastAsia" w:eastAsiaTheme="minorEastAsia" w:hAnsiTheme="minorEastAsia"/>
          <w:sz w:val="21"/>
          <w:szCs w:val="21"/>
          <w:shd w:val="clear" w:color="auto" w:fill="FFFFFF"/>
        </w:rPr>
        <w:t>法是基准地价系数修正法的特殊形式，适用原则与基准地价系数修正法类同。当区域内同时存在基准地价和</w:t>
      </w:r>
      <w:proofErr w:type="gramStart"/>
      <w:r w:rsidRPr="00FC53F0">
        <w:rPr>
          <w:rFonts w:asciiTheme="minorEastAsia" w:eastAsiaTheme="minorEastAsia" w:hAnsiTheme="minorEastAsia"/>
          <w:sz w:val="21"/>
          <w:szCs w:val="21"/>
          <w:shd w:val="clear" w:color="auto" w:fill="FFFFFF"/>
        </w:rPr>
        <w:t>路线价</w:t>
      </w:r>
      <w:proofErr w:type="gramEnd"/>
      <w:r w:rsidRPr="00FC53F0">
        <w:rPr>
          <w:rFonts w:asciiTheme="minorEastAsia" w:eastAsiaTheme="minorEastAsia" w:hAnsiTheme="minorEastAsia"/>
          <w:sz w:val="21"/>
          <w:szCs w:val="21"/>
          <w:shd w:val="clear" w:color="auto" w:fill="FFFFFF"/>
        </w:rPr>
        <w:t>时，里地线以内的宗地，应采用</w:t>
      </w:r>
      <w:proofErr w:type="gramStart"/>
      <w:r w:rsidRPr="00FC53F0">
        <w:rPr>
          <w:rFonts w:asciiTheme="minorEastAsia" w:eastAsiaTheme="minorEastAsia" w:hAnsiTheme="minorEastAsia"/>
          <w:sz w:val="21"/>
          <w:szCs w:val="21"/>
          <w:shd w:val="clear" w:color="auto" w:fill="FFFFFF"/>
        </w:rPr>
        <w:t>路线价</w:t>
      </w:r>
      <w:proofErr w:type="gramEnd"/>
      <w:r w:rsidRPr="00FC53F0">
        <w:rPr>
          <w:rFonts w:asciiTheme="minorEastAsia" w:eastAsiaTheme="minorEastAsia" w:hAnsiTheme="minorEastAsia"/>
          <w:sz w:val="21"/>
          <w:szCs w:val="21"/>
          <w:shd w:val="clear" w:color="auto" w:fill="FFFFFF"/>
        </w:rPr>
        <w:t>法评估。标定地价系数修正法</w:t>
      </w:r>
      <w:r w:rsidRPr="00FC53F0">
        <w:rPr>
          <w:rFonts w:asciiTheme="minorEastAsia" w:eastAsiaTheme="minorEastAsia" w:hAnsiTheme="minorEastAsia" w:hint="eastAsia"/>
          <w:sz w:val="21"/>
          <w:szCs w:val="21"/>
          <w:shd w:val="clear" w:color="auto" w:fill="FFFFFF"/>
        </w:rPr>
        <w:t>也是基准地价系数修正法的一种，它</w:t>
      </w:r>
      <w:r w:rsidRPr="00FC53F0">
        <w:rPr>
          <w:rFonts w:asciiTheme="minorEastAsia" w:eastAsiaTheme="minorEastAsia" w:hAnsiTheme="minorEastAsia"/>
          <w:sz w:val="21"/>
          <w:szCs w:val="21"/>
          <w:shd w:val="clear" w:color="auto" w:fill="FFFFFF"/>
        </w:rPr>
        <w:t>可用</w:t>
      </w:r>
      <w:r w:rsidRPr="00FC53F0">
        <w:rPr>
          <w:rFonts w:asciiTheme="minorEastAsia" w:eastAsiaTheme="minorEastAsia" w:hAnsiTheme="minorEastAsia" w:hint="eastAsia"/>
          <w:sz w:val="21"/>
          <w:szCs w:val="21"/>
          <w:shd w:val="clear" w:color="auto" w:fill="FFFFFF"/>
        </w:rPr>
        <w:t>于</w:t>
      </w:r>
      <w:r w:rsidRPr="00FC53F0">
        <w:rPr>
          <w:rFonts w:asciiTheme="minorEastAsia" w:eastAsiaTheme="minorEastAsia" w:hAnsiTheme="minorEastAsia"/>
          <w:sz w:val="21"/>
          <w:szCs w:val="21"/>
          <w:shd w:val="clear" w:color="auto" w:fill="FFFFFF"/>
        </w:rPr>
        <w:t>政府已公布标定地价的区域，且涉及国有土地资产处置或土地资产抵押时，所采用的标准宗地</w:t>
      </w:r>
      <w:proofErr w:type="gramStart"/>
      <w:r w:rsidRPr="00FC53F0">
        <w:rPr>
          <w:rFonts w:asciiTheme="minorEastAsia" w:eastAsiaTheme="minorEastAsia" w:hAnsiTheme="minorEastAsia"/>
          <w:sz w:val="21"/>
          <w:szCs w:val="21"/>
          <w:shd w:val="clear" w:color="auto" w:fill="FFFFFF"/>
        </w:rPr>
        <w:t>与待估宗地</w:t>
      </w:r>
      <w:proofErr w:type="gramEnd"/>
      <w:r w:rsidRPr="00FC53F0">
        <w:rPr>
          <w:rFonts w:asciiTheme="minorEastAsia" w:eastAsiaTheme="minorEastAsia" w:hAnsiTheme="minorEastAsia"/>
          <w:sz w:val="21"/>
          <w:szCs w:val="21"/>
          <w:shd w:val="clear" w:color="auto" w:fill="FFFFFF"/>
        </w:rPr>
        <w:t>应位于相同或类似区域，并具有可比性，标定地价应具有现实性，</w:t>
      </w:r>
      <w:proofErr w:type="gramStart"/>
      <w:r w:rsidRPr="00FC53F0">
        <w:rPr>
          <w:rFonts w:asciiTheme="minorEastAsia" w:eastAsiaTheme="minorEastAsia" w:hAnsiTheme="minorEastAsia"/>
          <w:sz w:val="21"/>
          <w:szCs w:val="21"/>
          <w:shd w:val="clear" w:color="auto" w:fill="FFFFFF"/>
        </w:rPr>
        <w:t>待估宗地</w:t>
      </w:r>
      <w:proofErr w:type="gramEnd"/>
      <w:r w:rsidRPr="00FC53F0">
        <w:rPr>
          <w:rFonts w:asciiTheme="minorEastAsia" w:eastAsiaTheme="minorEastAsia" w:hAnsiTheme="minorEastAsia"/>
          <w:sz w:val="21"/>
          <w:szCs w:val="21"/>
          <w:shd w:val="clear" w:color="auto" w:fill="FFFFFF"/>
        </w:rPr>
        <w:t>的估价期日距标定地价的期</w:t>
      </w:r>
      <w:proofErr w:type="gramStart"/>
      <w:r w:rsidRPr="00FC53F0">
        <w:rPr>
          <w:rFonts w:asciiTheme="minorEastAsia" w:eastAsiaTheme="minorEastAsia" w:hAnsiTheme="minorEastAsia"/>
          <w:sz w:val="21"/>
          <w:szCs w:val="21"/>
          <w:shd w:val="clear" w:color="auto" w:fill="FFFFFF"/>
        </w:rPr>
        <w:t>日一般</w:t>
      </w:r>
      <w:proofErr w:type="gramEnd"/>
      <w:r w:rsidRPr="00FC53F0">
        <w:rPr>
          <w:rFonts w:asciiTheme="minorEastAsia" w:eastAsiaTheme="minorEastAsia" w:hAnsiTheme="minorEastAsia"/>
          <w:sz w:val="21"/>
          <w:szCs w:val="21"/>
          <w:shd w:val="clear" w:color="auto" w:fill="FFFFFF"/>
        </w:rPr>
        <w:t>不超过1年</w:t>
      </w:r>
      <w:r w:rsidRPr="00FC53F0">
        <w:rPr>
          <w:rFonts w:asciiTheme="minorEastAsia" w:eastAsiaTheme="minorEastAsia" w:hAnsiTheme="minorEastAsia" w:hint="eastAsia"/>
          <w:sz w:val="21"/>
          <w:szCs w:val="21"/>
          <w:shd w:val="clear" w:color="auto" w:fill="FFFFFF"/>
          <w:vertAlign w:val="superscript"/>
        </w:rPr>
        <w:t>[</w:t>
      </w:r>
      <w:r w:rsidRPr="00FC53F0">
        <w:rPr>
          <w:rFonts w:asciiTheme="minorEastAsia" w:eastAsiaTheme="minorEastAsia" w:hAnsiTheme="minorEastAsia"/>
          <w:sz w:val="21"/>
          <w:szCs w:val="21"/>
          <w:shd w:val="clear" w:color="auto" w:fill="FFFFFF"/>
          <w:vertAlign w:val="superscript"/>
        </w:rPr>
        <w:t>29]</w:t>
      </w:r>
      <w:r w:rsidR="001F28DA"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hint="eastAsia"/>
          <w:sz w:val="21"/>
          <w:szCs w:val="21"/>
          <w:shd w:val="clear" w:color="auto" w:fill="FFFFFF"/>
        </w:rPr>
        <w:t>基准地价修正系数的使用是宏观调控土地市场、国家</w:t>
      </w:r>
      <w:r w:rsidRPr="00FC53F0">
        <w:rPr>
          <w:rFonts w:asciiTheme="minorEastAsia" w:eastAsiaTheme="minorEastAsia" w:hAnsiTheme="minorEastAsia" w:hint="eastAsia"/>
          <w:sz w:val="21"/>
          <w:szCs w:val="21"/>
          <w:shd w:val="clear" w:color="auto" w:fill="FFFFFF"/>
        </w:rPr>
        <w:lastRenderedPageBreak/>
        <w:t>征收土地使用税以及中央参与地方地产收益分配的依据，是进一步评估宗地地价的基础，对土地的利用和流动具有引导作用。但同时也存在着基准地价修正因素不合理、评估过程中存在泡沫问题、不同时期基准地价划分标准不一样</w:t>
      </w:r>
      <w:r w:rsidR="00FB2657"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hint="eastAsia"/>
          <w:sz w:val="21"/>
          <w:szCs w:val="21"/>
          <w:shd w:val="clear" w:color="auto" w:fill="FFFFFF"/>
        </w:rPr>
        <w:t>以及基准地价表现形式过多</w:t>
      </w:r>
      <w:r w:rsidR="001F28DA"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hint="eastAsia"/>
          <w:sz w:val="21"/>
          <w:szCs w:val="21"/>
          <w:shd w:val="clear" w:color="auto" w:fill="FFFFFF"/>
        </w:rPr>
        <w:t>难以统一的问题。</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现阶段我国集体建设用地</w:t>
      </w:r>
      <w:r w:rsidR="000F49E7" w:rsidRPr="00FC53F0">
        <w:rPr>
          <w:rFonts w:asciiTheme="minorEastAsia" w:eastAsiaTheme="minorEastAsia" w:hAnsiTheme="minorEastAsia" w:hint="eastAsia"/>
          <w:sz w:val="21"/>
          <w:szCs w:val="21"/>
          <w:shd w:val="clear" w:color="auto" w:fill="FFFFFF"/>
        </w:rPr>
        <w:t>市场</w:t>
      </w:r>
      <w:r w:rsidRPr="00FC53F0">
        <w:rPr>
          <w:rFonts w:asciiTheme="minorEastAsia" w:eastAsiaTheme="minorEastAsia" w:hAnsiTheme="minorEastAsia"/>
          <w:sz w:val="21"/>
          <w:szCs w:val="21"/>
          <w:shd w:val="clear" w:color="auto" w:fill="FFFFFF"/>
        </w:rPr>
        <w:t>处于发育初期，</w:t>
      </w:r>
      <w:r w:rsidR="000F49E7" w:rsidRPr="00FC53F0">
        <w:rPr>
          <w:rFonts w:asciiTheme="minorEastAsia" w:eastAsiaTheme="minorEastAsia" w:hAnsiTheme="minorEastAsia" w:hint="eastAsia"/>
          <w:sz w:val="21"/>
          <w:szCs w:val="21"/>
          <w:shd w:val="clear" w:color="auto" w:fill="FFFFFF"/>
        </w:rPr>
        <w:t>不同地区</w:t>
      </w:r>
      <w:r w:rsidRPr="00FC53F0">
        <w:rPr>
          <w:rFonts w:asciiTheme="minorEastAsia" w:eastAsiaTheme="minorEastAsia" w:hAnsiTheme="minorEastAsia"/>
          <w:sz w:val="21"/>
          <w:szCs w:val="21"/>
          <w:shd w:val="clear" w:color="auto" w:fill="FFFFFF"/>
        </w:rPr>
        <w:t>市场发育程度差异较大，在相对经济发展水平较高、区位条件较好的乡镇，土地征收、出让案例较多，建设用地也是经征收后出让</w:t>
      </w:r>
      <w:r w:rsidR="000F49E7"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sz w:val="21"/>
          <w:szCs w:val="21"/>
          <w:shd w:val="clear" w:color="auto" w:fill="FFFFFF"/>
        </w:rPr>
        <w:t>此类地区完全可使用市场比较法和收益还原法来评估其土地价格。但在某些市场发育不健全、比较实例不充分、交易案例欠缺、未开发土地较多的地区，根据当地具体情况，可以尝试使用成本逼近法和剩余法来评估。但</w:t>
      </w:r>
      <w:r w:rsidR="000F49E7" w:rsidRPr="00FC53F0">
        <w:rPr>
          <w:rFonts w:asciiTheme="minorEastAsia" w:eastAsiaTheme="minorEastAsia" w:hAnsiTheme="minorEastAsia" w:hint="eastAsia"/>
          <w:sz w:val="21"/>
          <w:szCs w:val="21"/>
          <w:shd w:val="clear" w:color="auto" w:fill="FFFFFF"/>
        </w:rPr>
        <w:t>使用</w:t>
      </w:r>
      <w:r w:rsidRPr="00FC53F0">
        <w:rPr>
          <w:rFonts w:asciiTheme="minorEastAsia" w:eastAsiaTheme="minorEastAsia" w:hAnsiTheme="minorEastAsia"/>
          <w:sz w:val="21"/>
          <w:szCs w:val="21"/>
          <w:shd w:val="clear" w:color="auto" w:fill="FFFFFF"/>
        </w:rPr>
        <w:t>成本逼近法在测算土地价格时，需</w:t>
      </w:r>
      <w:proofErr w:type="gramStart"/>
      <w:r w:rsidRPr="00FC53F0">
        <w:rPr>
          <w:rFonts w:asciiTheme="minorEastAsia" w:eastAsiaTheme="minorEastAsia" w:hAnsiTheme="minorEastAsia"/>
          <w:sz w:val="21"/>
          <w:szCs w:val="21"/>
          <w:shd w:val="clear" w:color="auto" w:fill="FFFFFF"/>
        </w:rPr>
        <w:t>根据待估宗地</w:t>
      </w:r>
      <w:proofErr w:type="gramEnd"/>
      <w:r w:rsidRPr="00FC53F0">
        <w:rPr>
          <w:rFonts w:asciiTheme="minorEastAsia" w:eastAsiaTheme="minorEastAsia" w:hAnsiTheme="minorEastAsia"/>
          <w:sz w:val="21"/>
          <w:szCs w:val="21"/>
          <w:shd w:val="clear" w:color="auto" w:fill="FFFFFF"/>
        </w:rPr>
        <w:t>在区域内的位置和宗地条件，考虑是否需要进行其他因素条件的修正，进而确定土地价格。</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本文在评估集体建设用地基准地价过程中，在对集体建设用地基准地价评估方法选择时，分析现有评估方法，均不能直接用于</w:t>
      </w:r>
      <w:r w:rsidR="003236B9" w:rsidRPr="00FC53F0">
        <w:rPr>
          <w:rFonts w:asciiTheme="minorEastAsia" w:eastAsiaTheme="minorEastAsia" w:hAnsiTheme="minorEastAsia"/>
          <w:sz w:val="21"/>
          <w:szCs w:val="21"/>
          <w:shd w:val="clear" w:color="auto" w:fill="FFFFFF"/>
        </w:rPr>
        <w:t>集体建设用地基准地价的评估，且集体建设用地与国有建设用地</w:t>
      </w:r>
      <w:r w:rsidRPr="00FC53F0">
        <w:rPr>
          <w:rFonts w:asciiTheme="minorEastAsia" w:eastAsiaTheme="minorEastAsia" w:hAnsiTheme="minorEastAsia"/>
          <w:sz w:val="21"/>
          <w:szCs w:val="21"/>
          <w:shd w:val="clear" w:color="auto" w:fill="FFFFFF"/>
        </w:rPr>
        <w:t>在出让、转让、出租以及租赁过程中存在着较多</w:t>
      </w:r>
      <w:r w:rsidR="0077401F" w:rsidRPr="00FC53F0">
        <w:rPr>
          <w:rFonts w:asciiTheme="minorEastAsia" w:eastAsiaTheme="minorEastAsia" w:hAnsiTheme="minorEastAsia" w:hint="eastAsia"/>
          <w:sz w:val="21"/>
          <w:szCs w:val="21"/>
          <w:shd w:val="clear" w:color="auto" w:fill="FFFFFF"/>
        </w:rPr>
        <w:t>价格</w:t>
      </w:r>
      <w:r w:rsidRPr="00FC53F0">
        <w:rPr>
          <w:rFonts w:asciiTheme="minorEastAsia" w:eastAsiaTheme="minorEastAsia" w:hAnsiTheme="minorEastAsia"/>
          <w:sz w:val="21"/>
          <w:szCs w:val="21"/>
          <w:shd w:val="clear" w:color="auto" w:fill="FFFFFF"/>
        </w:rPr>
        <w:t>差异，</w:t>
      </w:r>
      <w:r w:rsidRPr="00FC53F0">
        <w:rPr>
          <w:rFonts w:asciiTheme="minorEastAsia" w:eastAsiaTheme="minorEastAsia" w:hAnsiTheme="minorEastAsia" w:hint="eastAsia"/>
          <w:sz w:val="21"/>
          <w:szCs w:val="21"/>
          <w:shd w:val="clear" w:color="auto" w:fill="FFFFFF"/>
        </w:rPr>
        <w:t>那么</w:t>
      </w:r>
      <w:r w:rsidR="00D00B0F" w:rsidRPr="00FC53F0">
        <w:rPr>
          <w:rFonts w:asciiTheme="minorEastAsia" w:eastAsiaTheme="minorEastAsia" w:hAnsiTheme="minorEastAsia" w:hint="eastAsia"/>
          <w:sz w:val="21"/>
          <w:szCs w:val="21"/>
          <w:shd w:val="clear" w:color="auto" w:fill="FFFFFF"/>
        </w:rPr>
        <w:t>新</w:t>
      </w:r>
      <w:r w:rsidRPr="00FC53F0">
        <w:rPr>
          <w:rFonts w:asciiTheme="minorEastAsia" w:eastAsiaTheme="minorEastAsia" w:hAnsiTheme="minorEastAsia"/>
          <w:sz w:val="21"/>
          <w:szCs w:val="21"/>
          <w:shd w:val="clear" w:color="auto" w:fill="FFFFFF"/>
        </w:rPr>
        <w:t>创一种适用于集体建设用地基准地价的评估方法</w:t>
      </w:r>
      <w:r w:rsidRPr="00FC53F0">
        <w:rPr>
          <w:rFonts w:asciiTheme="minorEastAsia" w:eastAsiaTheme="minorEastAsia" w:hAnsiTheme="minorEastAsia" w:hint="eastAsia"/>
          <w:sz w:val="21"/>
          <w:szCs w:val="21"/>
          <w:shd w:val="clear" w:color="auto" w:fill="FFFFFF"/>
        </w:rPr>
        <w:t>便</w:t>
      </w:r>
      <w:r w:rsidR="00D00B0F" w:rsidRPr="00FC53F0">
        <w:rPr>
          <w:rFonts w:asciiTheme="minorEastAsia" w:eastAsiaTheme="minorEastAsia" w:hAnsiTheme="minorEastAsia" w:hint="eastAsia"/>
          <w:sz w:val="21"/>
          <w:szCs w:val="21"/>
          <w:shd w:val="clear" w:color="auto" w:fill="FFFFFF"/>
        </w:rPr>
        <w:t>非常必要。</w:t>
      </w:r>
      <w:r w:rsidRPr="00FC53F0">
        <w:rPr>
          <w:rFonts w:asciiTheme="minorEastAsia" w:eastAsiaTheme="minorEastAsia" w:hAnsiTheme="minorEastAsia"/>
          <w:sz w:val="21"/>
          <w:szCs w:val="21"/>
          <w:shd w:val="clear" w:color="auto" w:fill="FFFFFF"/>
        </w:rPr>
        <w:t>因此，本文从认知观念视角出发，结合心理账户理论，对国有建设用地与集体建设用地间的差异进行分析，</w:t>
      </w:r>
      <w:r w:rsidRPr="00FC53F0">
        <w:rPr>
          <w:rFonts w:asciiTheme="minorEastAsia" w:eastAsiaTheme="minorEastAsia" w:hAnsiTheme="minorEastAsia" w:hint="eastAsia"/>
          <w:sz w:val="21"/>
          <w:szCs w:val="21"/>
          <w:shd w:val="clear" w:color="auto" w:fill="FFFFFF"/>
        </w:rPr>
        <w:t>进而</w:t>
      </w:r>
      <w:r w:rsidR="00D00B0F" w:rsidRPr="00FC53F0">
        <w:rPr>
          <w:rFonts w:asciiTheme="minorEastAsia" w:eastAsiaTheme="minorEastAsia" w:hAnsiTheme="minorEastAsia" w:hint="eastAsia"/>
          <w:sz w:val="21"/>
          <w:szCs w:val="21"/>
          <w:shd w:val="clear" w:color="auto" w:fill="FFFFFF"/>
        </w:rPr>
        <w:t>对</w:t>
      </w:r>
      <w:r w:rsidRPr="00FC53F0">
        <w:rPr>
          <w:rFonts w:asciiTheme="minorEastAsia" w:eastAsiaTheme="minorEastAsia" w:hAnsiTheme="minorEastAsia" w:hint="eastAsia"/>
          <w:sz w:val="21"/>
          <w:szCs w:val="21"/>
          <w:shd w:val="clear" w:color="auto" w:fill="FFFFFF"/>
        </w:rPr>
        <w:t>集体建设用地基准地价的评估方法</w:t>
      </w:r>
      <w:r w:rsidR="00D00B0F" w:rsidRPr="00FC53F0">
        <w:rPr>
          <w:rFonts w:asciiTheme="minorEastAsia" w:eastAsiaTheme="minorEastAsia" w:hAnsiTheme="minorEastAsia" w:hint="eastAsia"/>
          <w:sz w:val="21"/>
          <w:szCs w:val="21"/>
          <w:shd w:val="clear" w:color="auto" w:fill="FFFFFF"/>
        </w:rPr>
        <w:t>进行创新</w:t>
      </w:r>
      <w:r w:rsidR="001E1A79"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hint="eastAsia"/>
          <w:sz w:val="21"/>
          <w:szCs w:val="21"/>
          <w:shd w:val="clear" w:color="auto" w:fill="FFFFFF"/>
        </w:rPr>
        <w:t>以期为集体建设用地基准地价评估提供</w:t>
      </w:r>
      <w:r w:rsidR="00D00B0F" w:rsidRPr="00FC53F0">
        <w:rPr>
          <w:rFonts w:asciiTheme="minorEastAsia" w:eastAsiaTheme="minorEastAsia" w:hAnsiTheme="minorEastAsia" w:hint="eastAsia"/>
          <w:sz w:val="21"/>
          <w:szCs w:val="21"/>
          <w:shd w:val="clear" w:color="auto" w:fill="FFFFFF"/>
        </w:rPr>
        <w:t>借鉴</w:t>
      </w:r>
      <w:r w:rsidRPr="00FC53F0">
        <w:rPr>
          <w:rFonts w:asciiTheme="minorEastAsia" w:eastAsiaTheme="minorEastAsia" w:hAnsiTheme="minorEastAsia" w:hint="eastAsia"/>
          <w:sz w:val="21"/>
          <w:szCs w:val="21"/>
          <w:shd w:val="clear" w:color="auto" w:fill="FFFFFF"/>
        </w:rPr>
        <w:t>。</w:t>
      </w:r>
    </w:p>
    <w:p w:rsidR="00F5516E" w:rsidRPr="00FC53F0" w:rsidRDefault="0071268E" w:rsidP="002021E2">
      <w:pPr>
        <w:spacing w:line="360" w:lineRule="auto"/>
        <w:rPr>
          <w:rFonts w:asciiTheme="minorEastAsia" w:eastAsiaTheme="minorEastAsia" w:hAnsiTheme="minorEastAsia"/>
          <w:b/>
          <w:bCs/>
          <w:sz w:val="21"/>
          <w:szCs w:val="21"/>
          <w:shd w:val="clear" w:color="auto" w:fill="FFFFFF"/>
        </w:rPr>
      </w:pPr>
      <w:r w:rsidRPr="00FC53F0">
        <w:rPr>
          <w:rFonts w:asciiTheme="minorEastAsia" w:eastAsiaTheme="minorEastAsia" w:hAnsiTheme="minorEastAsia"/>
          <w:b/>
          <w:bCs/>
          <w:sz w:val="21"/>
          <w:szCs w:val="21"/>
          <w:shd w:val="clear" w:color="auto" w:fill="FFFFFF"/>
        </w:rPr>
        <w:t>1.4 国有</w:t>
      </w:r>
      <w:r w:rsidRPr="00FC53F0">
        <w:rPr>
          <w:rFonts w:asciiTheme="minorEastAsia" w:eastAsiaTheme="minorEastAsia" w:hAnsiTheme="minorEastAsia" w:hint="eastAsia"/>
          <w:b/>
          <w:bCs/>
          <w:sz w:val="21"/>
          <w:szCs w:val="21"/>
          <w:shd w:val="clear" w:color="auto" w:fill="FFFFFF"/>
        </w:rPr>
        <w:t>建设用地</w:t>
      </w:r>
      <w:r w:rsidRPr="00FC53F0">
        <w:rPr>
          <w:rFonts w:asciiTheme="minorEastAsia" w:eastAsiaTheme="minorEastAsia" w:hAnsiTheme="minorEastAsia"/>
          <w:b/>
          <w:bCs/>
          <w:sz w:val="21"/>
          <w:szCs w:val="21"/>
          <w:shd w:val="clear" w:color="auto" w:fill="FFFFFF"/>
        </w:rPr>
        <w:t>与集体建设用地</w:t>
      </w:r>
      <w:r w:rsidRPr="00FC53F0">
        <w:rPr>
          <w:rFonts w:asciiTheme="minorEastAsia" w:eastAsiaTheme="minorEastAsia" w:hAnsiTheme="minorEastAsia" w:hint="eastAsia"/>
          <w:b/>
          <w:bCs/>
          <w:sz w:val="21"/>
          <w:szCs w:val="21"/>
          <w:shd w:val="clear" w:color="auto" w:fill="FFFFFF"/>
        </w:rPr>
        <w:t>权能差异分析</w:t>
      </w:r>
    </w:p>
    <w:p w:rsidR="00F5516E" w:rsidRPr="00FC53F0" w:rsidRDefault="0071268E" w:rsidP="002021E2">
      <w:pPr>
        <w:spacing w:line="360" w:lineRule="auto"/>
        <w:ind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通过分析国有建设用地与集体建设用地特征，构建指标体系，依据重要性、科学性、差异性以及资料收集与处理便利性原则，合理选择集体建设用地和国有建设用地有差异的因素因子</w:t>
      </w:r>
      <w:r w:rsidRPr="00FC53F0">
        <w:rPr>
          <w:rFonts w:asciiTheme="minorEastAsia" w:eastAsiaTheme="minorEastAsia" w:hAnsiTheme="minorEastAsia"/>
          <w:sz w:val="21"/>
          <w:szCs w:val="21"/>
          <w:shd w:val="clear" w:color="auto" w:fill="FFFFFF"/>
          <w:vertAlign w:val="superscript"/>
        </w:rPr>
        <w:t>[22]</w:t>
      </w:r>
      <w:r w:rsidRPr="00FC53F0">
        <w:rPr>
          <w:rFonts w:asciiTheme="minorEastAsia" w:eastAsiaTheme="minorEastAsia" w:hAnsiTheme="minorEastAsia"/>
          <w:sz w:val="21"/>
          <w:szCs w:val="21"/>
          <w:shd w:val="clear" w:color="auto" w:fill="FFFFFF"/>
        </w:rPr>
        <w:t xml:space="preserve"> ，最终选择权利完整性、交易完善性和政策支持度三个因素因子层，6个</w:t>
      </w:r>
      <w:proofErr w:type="gramStart"/>
      <w:r w:rsidRPr="00FC53F0">
        <w:rPr>
          <w:rFonts w:asciiTheme="minorEastAsia" w:eastAsiaTheme="minorEastAsia" w:hAnsiTheme="minorEastAsia"/>
          <w:sz w:val="21"/>
          <w:szCs w:val="21"/>
          <w:shd w:val="clear" w:color="auto" w:fill="FFFFFF"/>
        </w:rPr>
        <w:t>修正因</w:t>
      </w:r>
      <w:proofErr w:type="gramEnd"/>
      <w:r w:rsidRPr="00FC53F0">
        <w:rPr>
          <w:rFonts w:asciiTheme="minorEastAsia" w:eastAsiaTheme="minorEastAsia" w:hAnsiTheme="minorEastAsia"/>
          <w:sz w:val="21"/>
          <w:szCs w:val="21"/>
          <w:shd w:val="clear" w:color="auto" w:fill="FFFFFF"/>
        </w:rPr>
        <w:t>子层和14个参照层</w:t>
      </w:r>
      <w:r w:rsidRPr="00FC53F0">
        <w:rPr>
          <w:rFonts w:asciiTheme="minorEastAsia" w:eastAsiaTheme="minorEastAsia" w:hAnsiTheme="minorEastAsia" w:hint="eastAsia"/>
          <w:sz w:val="21"/>
          <w:szCs w:val="21"/>
          <w:shd w:val="clear" w:color="auto" w:fill="FFFFFF"/>
        </w:rPr>
        <w:t>。</w:t>
      </w:r>
      <w:r w:rsidR="00D00B0F" w:rsidRPr="00FC53F0">
        <w:rPr>
          <w:rFonts w:asciiTheme="minorEastAsia" w:eastAsiaTheme="minorEastAsia" w:hAnsiTheme="minorEastAsia" w:hint="eastAsia"/>
          <w:sz w:val="21"/>
          <w:szCs w:val="21"/>
          <w:shd w:val="clear" w:color="auto" w:fill="FFFFFF"/>
        </w:rPr>
        <w:t>本文将权利完整性、政策支持度和交易完善度之间的差异归结为国有建设用地与集体建设用地之间的权能差异。</w:t>
      </w:r>
    </w:p>
    <w:p w:rsidR="00F5516E" w:rsidRPr="00FC53F0" w:rsidRDefault="00D00B0F" w:rsidP="00D00B0F">
      <w:pPr>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1</w:t>
      </w:r>
      <w:r w:rsidRPr="00FC53F0">
        <w:rPr>
          <w:rFonts w:asciiTheme="minorEastAsia" w:eastAsiaTheme="minorEastAsia" w:hAnsiTheme="minorEastAsia"/>
          <w:sz w:val="21"/>
          <w:szCs w:val="21"/>
          <w:shd w:val="clear" w:color="auto" w:fill="FFFFFF"/>
        </w:rPr>
        <w:t>.4.1</w:t>
      </w:r>
      <w:r w:rsidR="001E1A79" w:rsidRPr="00FC53F0">
        <w:rPr>
          <w:rFonts w:asciiTheme="minorEastAsia" w:eastAsiaTheme="minorEastAsia" w:hAnsiTheme="minorEastAsia"/>
          <w:sz w:val="21"/>
          <w:szCs w:val="21"/>
          <w:shd w:val="clear" w:color="auto" w:fill="FFFFFF"/>
        </w:rPr>
        <w:t xml:space="preserve"> </w:t>
      </w:r>
      <w:r w:rsidR="0071268E" w:rsidRPr="00FC53F0">
        <w:rPr>
          <w:rFonts w:asciiTheme="minorEastAsia" w:eastAsiaTheme="minorEastAsia" w:hAnsiTheme="minorEastAsia"/>
          <w:sz w:val="21"/>
          <w:szCs w:val="21"/>
          <w:shd w:val="clear" w:color="auto" w:fill="FFFFFF"/>
        </w:rPr>
        <w:t>权利完整性</w:t>
      </w:r>
    </w:p>
    <w:p w:rsidR="00F5516E" w:rsidRPr="00FC53F0" w:rsidRDefault="003236B9" w:rsidP="002021E2">
      <w:pPr>
        <w:spacing w:line="360" w:lineRule="auto"/>
        <w:ind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是否赋予集体组织</w:t>
      </w:r>
      <w:r w:rsidR="0071268E" w:rsidRPr="00FC53F0">
        <w:rPr>
          <w:rFonts w:asciiTheme="minorEastAsia" w:eastAsiaTheme="minorEastAsia" w:hAnsiTheme="minorEastAsia"/>
          <w:sz w:val="21"/>
          <w:szCs w:val="21"/>
          <w:shd w:val="clear" w:color="auto" w:fill="FFFFFF"/>
        </w:rPr>
        <w:t>完整的</w:t>
      </w:r>
      <w:r w:rsidRPr="00FC53F0">
        <w:rPr>
          <w:rFonts w:asciiTheme="minorEastAsia" w:eastAsiaTheme="minorEastAsia" w:hAnsiTheme="minorEastAsia" w:hint="eastAsia"/>
          <w:sz w:val="21"/>
          <w:szCs w:val="21"/>
          <w:shd w:val="clear" w:color="auto" w:fill="FFFFFF"/>
        </w:rPr>
        <w:t>土地</w:t>
      </w:r>
      <w:r w:rsidR="0071268E" w:rsidRPr="00FC53F0">
        <w:rPr>
          <w:rFonts w:asciiTheme="minorEastAsia" w:eastAsiaTheme="minorEastAsia" w:hAnsiTheme="minorEastAsia"/>
          <w:sz w:val="21"/>
          <w:szCs w:val="21"/>
          <w:shd w:val="clear" w:color="auto" w:fill="FFFFFF"/>
        </w:rPr>
        <w:t>财产处置权，一直都是土地界争论的焦点。在无任何法律法规支撑的情况下，集体建设用地产权不清晰，所有权与使用权混为一体，对于集体建设用地的使用依然停留在简单的入股或者合作经营的阶段，并无核心的产权交易</w:t>
      </w:r>
      <w:r w:rsidR="0071268E" w:rsidRPr="00FC53F0">
        <w:rPr>
          <w:rFonts w:asciiTheme="minorEastAsia" w:eastAsiaTheme="minorEastAsia" w:hAnsiTheme="minorEastAsia"/>
          <w:sz w:val="21"/>
          <w:szCs w:val="21"/>
          <w:shd w:val="clear" w:color="auto" w:fill="FFFFFF"/>
          <w:vertAlign w:val="superscript"/>
        </w:rPr>
        <w:t>[22]</w:t>
      </w:r>
      <w:r w:rsidR="0071268E" w:rsidRPr="00FC53F0">
        <w:rPr>
          <w:rFonts w:asciiTheme="minorEastAsia" w:eastAsiaTheme="minorEastAsia" w:hAnsiTheme="minorEastAsia"/>
          <w:sz w:val="21"/>
          <w:szCs w:val="21"/>
          <w:shd w:val="clear" w:color="auto" w:fill="FFFFFF"/>
        </w:rPr>
        <w:t>，导致农民利益并未得到真正意义上的上升。</w:t>
      </w:r>
    </w:p>
    <w:p w:rsidR="00F5516E" w:rsidRPr="00FC53F0" w:rsidRDefault="0071268E" w:rsidP="002021E2">
      <w:pPr>
        <w:spacing w:line="360" w:lineRule="auto"/>
        <w:ind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权利完整性指标用来表示两类建设用地在权利不对等的情况下的因素分析，如产权清晰和权益保障的</w:t>
      </w:r>
      <w:r w:rsidR="00D00B0F" w:rsidRPr="00FC53F0">
        <w:rPr>
          <w:rFonts w:asciiTheme="minorEastAsia" w:eastAsiaTheme="minorEastAsia" w:hAnsiTheme="minorEastAsia" w:hint="eastAsia"/>
          <w:sz w:val="21"/>
          <w:szCs w:val="21"/>
          <w:shd w:val="clear" w:color="auto" w:fill="FFFFFF"/>
        </w:rPr>
        <w:t>提高意味着投资此类建设用地的风险降低，而出租权、转让权、抵押权</w:t>
      </w:r>
      <w:r w:rsidRPr="00FC53F0">
        <w:rPr>
          <w:rFonts w:asciiTheme="minorEastAsia" w:eastAsiaTheme="minorEastAsia" w:hAnsiTheme="minorEastAsia" w:hint="eastAsia"/>
          <w:sz w:val="21"/>
          <w:szCs w:val="21"/>
          <w:shd w:val="clear" w:color="auto" w:fill="FFFFFF"/>
        </w:rPr>
        <w:t>是产权</w:t>
      </w:r>
      <w:r w:rsidRPr="00FC53F0">
        <w:rPr>
          <w:rFonts w:asciiTheme="minorEastAsia" w:eastAsiaTheme="minorEastAsia" w:hAnsiTheme="minorEastAsia" w:hint="eastAsia"/>
          <w:sz w:val="21"/>
          <w:szCs w:val="21"/>
          <w:shd w:val="clear" w:color="auto" w:fill="FFFFFF"/>
        </w:rPr>
        <w:lastRenderedPageBreak/>
        <w:t>清晰度的具体表现。使用权证书、使用权登记以及信息公开制度是对于权益保障性的具体体现。</w:t>
      </w:r>
      <w:r w:rsidRPr="00FC53F0">
        <w:rPr>
          <w:rFonts w:asciiTheme="minorEastAsia" w:eastAsiaTheme="minorEastAsia" w:hAnsiTheme="minorEastAsia"/>
          <w:sz w:val="21"/>
          <w:szCs w:val="21"/>
          <w:shd w:val="clear" w:color="auto" w:fill="FFFFFF"/>
        </w:rPr>
        <w:t>在当前市场竞争条件下，集体建设用地作为一种具有交换价值的独立资产，与国有建设用地一样</w:t>
      </w:r>
      <w:r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sz w:val="21"/>
          <w:szCs w:val="21"/>
          <w:shd w:val="clear" w:color="auto" w:fill="FFFFFF"/>
        </w:rPr>
        <w:t>具有一定的商品属性，具有占有、转让、承包、使用的权利</w:t>
      </w:r>
      <w:r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sz w:val="21"/>
          <w:szCs w:val="21"/>
          <w:shd w:val="clear" w:color="auto" w:fill="FFFFFF"/>
        </w:rPr>
        <w:t>但由于土地权利的不同，导致</w:t>
      </w:r>
      <w:r w:rsidR="00D00B0F" w:rsidRPr="00FC53F0">
        <w:rPr>
          <w:rFonts w:asciiTheme="minorEastAsia" w:eastAsiaTheme="minorEastAsia" w:hAnsiTheme="minorEastAsia" w:hint="eastAsia"/>
          <w:sz w:val="21"/>
          <w:szCs w:val="21"/>
          <w:shd w:val="clear" w:color="auto" w:fill="FFFFFF"/>
        </w:rPr>
        <w:t>二者</w:t>
      </w:r>
      <w:r w:rsidRPr="00FC53F0">
        <w:rPr>
          <w:rFonts w:asciiTheme="minorEastAsia" w:eastAsiaTheme="minorEastAsia" w:hAnsiTheme="minorEastAsia"/>
          <w:sz w:val="21"/>
          <w:szCs w:val="21"/>
          <w:shd w:val="clear" w:color="auto" w:fill="FFFFFF"/>
        </w:rPr>
        <w:t>价格</w:t>
      </w:r>
      <w:r w:rsidR="003236B9" w:rsidRPr="00FC53F0">
        <w:rPr>
          <w:rFonts w:asciiTheme="minorEastAsia" w:eastAsiaTheme="minorEastAsia" w:hAnsiTheme="minorEastAsia" w:hint="eastAsia"/>
          <w:sz w:val="21"/>
          <w:szCs w:val="21"/>
          <w:shd w:val="clear" w:color="auto" w:fill="FFFFFF"/>
        </w:rPr>
        <w:t>不同</w:t>
      </w:r>
      <w:r w:rsidRPr="00FC53F0">
        <w:rPr>
          <w:rFonts w:asciiTheme="minorEastAsia" w:eastAsiaTheme="minorEastAsia" w:hAnsiTheme="minorEastAsia"/>
          <w:sz w:val="21"/>
          <w:szCs w:val="21"/>
          <w:shd w:val="clear" w:color="auto" w:fill="FFFFFF"/>
        </w:rPr>
        <w:t>。</w:t>
      </w:r>
    </w:p>
    <w:p w:rsidR="00F5516E" w:rsidRPr="00FC53F0" w:rsidRDefault="00D00B0F" w:rsidP="00D00B0F">
      <w:pPr>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1</w:t>
      </w:r>
      <w:r w:rsidRPr="00FC53F0">
        <w:rPr>
          <w:rFonts w:asciiTheme="minorEastAsia" w:eastAsiaTheme="minorEastAsia" w:hAnsiTheme="minorEastAsia"/>
          <w:sz w:val="21"/>
          <w:szCs w:val="21"/>
          <w:shd w:val="clear" w:color="auto" w:fill="FFFFFF"/>
        </w:rPr>
        <w:t>.4.2</w:t>
      </w:r>
      <w:r w:rsidR="001E1A79" w:rsidRPr="00FC53F0">
        <w:rPr>
          <w:rFonts w:asciiTheme="minorEastAsia" w:eastAsiaTheme="minorEastAsia" w:hAnsiTheme="minorEastAsia"/>
          <w:sz w:val="21"/>
          <w:szCs w:val="21"/>
          <w:shd w:val="clear" w:color="auto" w:fill="FFFFFF"/>
        </w:rPr>
        <w:t xml:space="preserve"> </w:t>
      </w:r>
      <w:r w:rsidR="0071268E" w:rsidRPr="00FC53F0">
        <w:rPr>
          <w:rFonts w:asciiTheme="minorEastAsia" w:eastAsiaTheme="minorEastAsia" w:hAnsiTheme="minorEastAsia"/>
          <w:sz w:val="21"/>
          <w:szCs w:val="21"/>
          <w:shd w:val="clear" w:color="auto" w:fill="FFFFFF"/>
        </w:rPr>
        <w:t>交易完善度</w:t>
      </w:r>
    </w:p>
    <w:p w:rsidR="00F5516E" w:rsidRPr="00FC53F0" w:rsidRDefault="0071268E" w:rsidP="002021E2">
      <w:pPr>
        <w:spacing w:line="360" w:lineRule="auto"/>
        <w:ind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交易完善度指标表征了两类建设用地在市场流转的过程中的具体交易性</w:t>
      </w:r>
      <w:r w:rsidR="00D00B0F"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hint="eastAsia"/>
          <w:sz w:val="21"/>
          <w:szCs w:val="21"/>
          <w:shd w:val="clear" w:color="auto" w:fill="FFFFFF"/>
        </w:rPr>
        <w:t>如市场流转</w:t>
      </w:r>
      <w:proofErr w:type="gramStart"/>
      <w:r w:rsidRPr="00FC53F0">
        <w:rPr>
          <w:rFonts w:asciiTheme="minorEastAsia" w:eastAsiaTheme="minorEastAsia" w:hAnsiTheme="minorEastAsia" w:hint="eastAsia"/>
          <w:sz w:val="21"/>
          <w:szCs w:val="21"/>
          <w:shd w:val="clear" w:color="auto" w:fill="FFFFFF"/>
        </w:rPr>
        <w:t>度表明</w:t>
      </w:r>
      <w:proofErr w:type="gramEnd"/>
      <w:r w:rsidRPr="00FC53F0">
        <w:rPr>
          <w:rFonts w:asciiTheme="minorEastAsia" w:eastAsiaTheme="minorEastAsia" w:hAnsiTheme="minorEastAsia" w:hint="eastAsia"/>
          <w:sz w:val="21"/>
          <w:szCs w:val="21"/>
          <w:shd w:val="clear" w:color="auto" w:fill="FFFFFF"/>
        </w:rPr>
        <w:t>了土地在流转过程中的具体情况，而市场交易度则表示两类建设用地在交易过程中的情况对比</w:t>
      </w:r>
      <w:r w:rsidR="00D00B0F"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hint="eastAsia"/>
          <w:sz w:val="21"/>
          <w:szCs w:val="21"/>
          <w:shd w:val="clear" w:color="auto" w:fill="FFFFFF"/>
        </w:rPr>
        <w:t>流转多样性和用途限制性则是对市场流转度的具体指标的体现。</w:t>
      </w:r>
    </w:p>
    <w:p w:rsidR="00F5516E" w:rsidRPr="00FC53F0" w:rsidRDefault="0071268E" w:rsidP="002021E2">
      <w:pPr>
        <w:spacing w:line="360" w:lineRule="auto"/>
        <w:ind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集体建设用地流转范围大，流转形式多样，市场因素较多，市场接受度也较高，通过市场竞争较能充分体现土地使用权价值，其价值表现也就越高，反之亦然</w:t>
      </w:r>
      <w:r w:rsidRPr="00FC53F0">
        <w:rPr>
          <w:rFonts w:asciiTheme="minorEastAsia" w:eastAsiaTheme="minorEastAsia" w:hAnsiTheme="minorEastAsia"/>
          <w:sz w:val="21"/>
          <w:szCs w:val="21"/>
          <w:shd w:val="clear" w:color="auto" w:fill="FFFFFF"/>
          <w:vertAlign w:val="superscript"/>
        </w:rPr>
        <w:t>[30]</w:t>
      </w:r>
      <w:r w:rsidRPr="00FC53F0">
        <w:rPr>
          <w:rFonts w:asciiTheme="minorEastAsia" w:eastAsiaTheme="minorEastAsia" w:hAnsiTheme="minorEastAsia"/>
          <w:sz w:val="21"/>
          <w:szCs w:val="21"/>
          <w:shd w:val="clear" w:color="auto" w:fill="FFFFFF"/>
        </w:rPr>
        <w:t>。但集体建设用地流转市场还处于试点阶段，市场交易不完善，用途限制较多、市场接受度不高，使得集体建设用地与国有建设用地在市场流转度、市场接受度等方面还存在较大差异。</w:t>
      </w:r>
    </w:p>
    <w:p w:rsidR="00F5516E" w:rsidRPr="00FC53F0" w:rsidRDefault="00D00B0F" w:rsidP="00D00B0F">
      <w:pPr>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1</w:t>
      </w:r>
      <w:r w:rsidRPr="00FC53F0">
        <w:rPr>
          <w:rFonts w:asciiTheme="minorEastAsia" w:eastAsiaTheme="minorEastAsia" w:hAnsiTheme="minorEastAsia"/>
          <w:sz w:val="21"/>
          <w:szCs w:val="21"/>
          <w:shd w:val="clear" w:color="auto" w:fill="FFFFFF"/>
        </w:rPr>
        <w:t>.4.3</w:t>
      </w:r>
      <w:r w:rsidR="001E1A79" w:rsidRPr="00FC53F0">
        <w:rPr>
          <w:rFonts w:asciiTheme="minorEastAsia" w:eastAsiaTheme="minorEastAsia" w:hAnsiTheme="minorEastAsia"/>
          <w:sz w:val="21"/>
          <w:szCs w:val="21"/>
          <w:shd w:val="clear" w:color="auto" w:fill="FFFFFF"/>
        </w:rPr>
        <w:t xml:space="preserve"> </w:t>
      </w:r>
      <w:r w:rsidR="0071268E" w:rsidRPr="00FC53F0">
        <w:rPr>
          <w:rFonts w:asciiTheme="minorEastAsia" w:eastAsiaTheme="minorEastAsia" w:hAnsiTheme="minorEastAsia"/>
          <w:sz w:val="21"/>
          <w:szCs w:val="21"/>
          <w:shd w:val="clear" w:color="auto" w:fill="FFFFFF"/>
        </w:rPr>
        <w:t>政策支持度</w:t>
      </w:r>
    </w:p>
    <w:p w:rsidR="00F5516E" w:rsidRPr="00FC53F0" w:rsidRDefault="0071268E" w:rsidP="00D00B0F">
      <w:pPr>
        <w:spacing w:line="360" w:lineRule="auto"/>
        <w:ind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政策支持度</w:t>
      </w:r>
      <w:r w:rsidR="00D00B0F" w:rsidRPr="00FC53F0">
        <w:rPr>
          <w:rFonts w:asciiTheme="minorEastAsia" w:eastAsiaTheme="minorEastAsia" w:hAnsiTheme="minorEastAsia" w:hint="eastAsia"/>
          <w:sz w:val="21"/>
          <w:szCs w:val="21"/>
          <w:shd w:val="clear" w:color="auto" w:fill="FFFFFF"/>
        </w:rPr>
        <w:t>用以表示两类建设用地在市场流转</w:t>
      </w:r>
      <w:r w:rsidR="003236B9" w:rsidRPr="00FC53F0">
        <w:rPr>
          <w:rFonts w:asciiTheme="minorEastAsia" w:eastAsiaTheme="minorEastAsia" w:hAnsiTheme="minorEastAsia" w:hint="eastAsia"/>
          <w:sz w:val="21"/>
          <w:szCs w:val="21"/>
          <w:shd w:val="clear" w:color="auto" w:fill="FFFFFF"/>
        </w:rPr>
        <w:t>过程中，国家政策</w:t>
      </w:r>
      <w:r w:rsidRPr="00FC53F0">
        <w:rPr>
          <w:rFonts w:asciiTheme="minorEastAsia" w:eastAsiaTheme="minorEastAsia" w:hAnsiTheme="minorEastAsia" w:hint="eastAsia"/>
          <w:sz w:val="21"/>
          <w:szCs w:val="21"/>
          <w:shd w:val="clear" w:color="auto" w:fill="FFFFFF"/>
        </w:rPr>
        <w:t>的支持程度，如法律法规的支持度和制度衔接性都是对政策支持度的体现。物权法、土地管理法</w:t>
      </w:r>
      <w:r w:rsidR="003236B9"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hint="eastAsia"/>
          <w:sz w:val="21"/>
          <w:szCs w:val="21"/>
          <w:shd w:val="clear" w:color="auto" w:fill="FFFFFF"/>
        </w:rPr>
        <w:t>流转实施度是对法律法规支持度的进一步细化，征地制度、土地收益分配制度是对制度衔接性的进一步诠释。</w:t>
      </w:r>
    </w:p>
    <w:p w:rsidR="00F5516E" w:rsidRPr="00FC53F0" w:rsidRDefault="0071268E" w:rsidP="002021E2">
      <w:pPr>
        <w:spacing w:line="360" w:lineRule="auto"/>
        <w:rPr>
          <w:rFonts w:asciiTheme="minorEastAsia" w:eastAsiaTheme="minorEastAsia" w:hAnsiTheme="minorEastAsia"/>
          <w:b/>
          <w:bCs/>
          <w:sz w:val="28"/>
          <w:szCs w:val="28"/>
          <w:shd w:val="clear" w:color="auto" w:fill="FFFFFF"/>
        </w:rPr>
      </w:pPr>
      <w:r w:rsidRPr="00FC53F0">
        <w:rPr>
          <w:rFonts w:asciiTheme="minorEastAsia" w:eastAsiaTheme="minorEastAsia" w:hAnsiTheme="minorEastAsia"/>
          <w:b/>
          <w:bCs/>
          <w:sz w:val="28"/>
          <w:szCs w:val="28"/>
          <w:shd w:val="clear" w:color="auto" w:fill="FFFFFF"/>
        </w:rPr>
        <w:t xml:space="preserve">2 </w:t>
      </w:r>
      <w:r w:rsidRPr="00FC53F0">
        <w:rPr>
          <w:rFonts w:asciiTheme="minorEastAsia" w:eastAsiaTheme="minorEastAsia" w:hAnsiTheme="minorEastAsia" w:hint="eastAsia"/>
          <w:b/>
          <w:bCs/>
          <w:sz w:val="28"/>
          <w:szCs w:val="28"/>
          <w:shd w:val="clear" w:color="auto" w:fill="FFFFFF"/>
        </w:rPr>
        <w:t>实践验证</w:t>
      </w:r>
    </w:p>
    <w:p w:rsidR="00F5516E" w:rsidRPr="00FC53F0" w:rsidRDefault="0071268E" w:rsidP="002021E2">
      <w:pPr>
        <w:spacing w:line="360" w:lineRule="auto"/>
        <w:rPr>
          <w:rFonts w:asciiTheme="minorEastAsia" w:eastAsiaTheme="minorEastAsia" w:hAnsiTheme="minorEastAsia"/>
          <w:b/>
          <w:bCs/>
          <w:sz w:val="21"/>
          <w:szCs w:val="21"/>
          <w:shd w:val="clear" w:color="auto" w:fill="FFFFFF"/>
        </w:rPr>
      </w:pPr>
      <w:r w:rsidRPr="00FC53F0">
        <w:rPr>
          <w:rFonts w:asciiTheme="minorEastAsia" w:eastAsiaTheme="minorEastAsia" w:hAnsiTheme="minorEastAsia"/>
          <w:b/>
          <w:bCs/>
          <w:sz w:val="21"/>
          <w:szCs w:val="21"/>
          <w:shd w:val="clear" w:color="auto" w:fill="FFFFFF"/>
        </w:rPr>
        <w:t xml:space="preserve">2.1 </w:t>
      </w:r>
      <w:r w:rsidRPr="00FC53F0">
        <w:rPr>
          <w:rFonts w:asciiTheme="minorEastAsia" w:eastAsiaTheme="minorEastAsia" w:hAnsiTheme="minorEastAsia" w:hint="eastAsia"/>
          <w:b/>
          <w:bCs/>
          <w:sz w:val="21"/>
          <w:szCs w:val="21"/>
          <w:shd w:val="clear" w:color="auto" w:fill="FFFFFF"/>
        </w:rPr>
        <w:t>研究区概况及数据来源</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皋兰县位于黄河上游，甘肃省中部，现辖石洞镇、</w:t>
      </w:r>
      <w:proofErr w:type="gramStart"/>
      <w:r w:rsidRPr="00FC53F0">
        <w:rPr>
          <w:rFonts w:asciiTheme="minorEastAsia" w:eastAsiaTheme="minorEastAsia" w:hAnsiTheme="minorEastAsia"/>
          <w:sz w:val="21"/>
          <w:szCs w:val="21"/>
          <w:shd w:val="clear" w:color="auto" w:fill="FFFFFF"/>
        </w:rPr>
        <w:t>什穿镇</w:t>
      </w:r>
      <w:proofErr w:type="gramEnd"/>
      <w:r w:rsidRPr="00FC53F0">
        <w:rPr>
          <w:rFonts w:asciiTheme="minorEastAsia" w:eastAsiaTheme="minorEastAsia" w:hAnsiTheme="minorEastAsia"/>
          <w:sz w:val="21"/>
          <w:szCs w:val="21"/>
          <w:shd w:val="clear" w:color="auto" w:fill="FFFFFF"/>
        </w:rPr>
        <w:t>、忠和镇、九合镇、黑石镇、水阜镇六个镇级行政区，皋兰</w:t>
      </w:r>
      <w:proofErr w:type="gramStart"/>
      <w:r w:rsidRPr="00FC53F0">
        <w:rPr>
          <w:rFonts w:asciiTheme="minorEastAsia" w:eastAsiaTheme="minorEastAsia" w:hAnsiTheme="minorEastAsia"/>
          <w:sz w:val="21"/>
          <w:szCs w:val="21"/>
          <w:shd w:val="clear" w:color="auto" w:fill="FFFFFF"/>
        </w:rPr>
        <w:t>县集体</w:t>
      </w:r>
      <w:proofErr w:type="gramEnd"/>
      <w:r w:rsidRPr="00FC53F0">
        <w:rPr>
          <w:rFonts w:asciiTheme="minorEastAsia" w:eastAsiaTheme="minorEastAsia" w:hAnsiTheme="minorEastAsia"/>
          <w:sz w:val="21"/>
          <w:szCs w:val="21"/>
          <w:shd w:val="clear" w:color="auto" w:fill="FFFFFF"/>
        </w:rPr>
        <w:t>建设用地面积为23.77km</w:t>
      </w:r>
      <w:r w:rsidRPr="00FC53F0">
        <w:rPr>
          <w:rFonts w:asciiTheme="minorEastAsia" w:eastAsiaTheme="minorEastAsia" w:hAnsiTheme="minorEastAsia"/>
          <w:sz w:val="21"/>
          <w:szCs w:val="21"/>
          <w:shd w:val="clear" w:color="auto" w:fill="FFFFFF"/>
          <w:vertAlign w:val="superscript"/>
        </w:rPr>
        <w:t>2</w:t>
      </w:r>
      <w:r w:rsidRPr="00FC53F0">
        <w:rPr>
          <w:rFonts w:asciiTheme="minorEastAsia" w:eastAsiaTheme="minorEastAsia" w:hAnsiTheme="minorEastAsia"/>
          <w:sz w:val="21"/>
          <w:szCs w:val="21"/>
          <w:shd w:val="clear" w:color="auto" w:fill="FFFFFF"/>
        </w:rPr>
        <w:t>（除国有建设用地基准地价已覆盖的区域）。由于集体建设用地具有覆盖范围广、空间位置分散、质量分布不连续等特点，无法划分集中连片的定级范围，在定级过程中定级范围是以行政区界限作为控制边界，将控制边界内的各类用地参与定级测算过程，故本次集体建设用地评估对象为皋兰县行政界线范围内的集体建设用地（除国有建设用地基准地价已覆盖的区域），具体范围符合城乡土地制度、规划管制及相关政策要求。皋兰县</w:t>
      </w:r>
      <w:r w:rsidR="001F28DA" w:rsidRPr="00FC53F0">
        <w:rPr>
          <w:rFonts w:asciiTheme="minorEastAsia" w:eastAsiaTheme="minorEastAsia" w:hAnsiTheme="minorEastAsia" w:hint="eastAsia"/>
          <w:sz w:val="21"/>
          <w:szCs w:val="21"/>
          <w:shd w:val="clear" w:color="auto" w:fill="FFFFFF"/>
        </w:rPr>
        <w:t>作为试点城市，</w:t>
      </w:r>
      <w:r w:rsidRPr="00FC53F0">
        <w:rPr>
          <w:rFonts w:asciiTheme="minorEastAsia" w:eastAsiaTheme="minorEastAsia" w:hAnsiTheme="minorEastAsia"/>
          <w:sz w:val="21"/>
          <w:szCs w:val="21"/>
          <w:shd w:val="clear" w:color="auto" w:fill="FFFFFF"/>
        </w:rPr>
        <w:t>现行的国有建设用地基准地价于2017年公布，</w:t>
      </w:r>
      <w:r w:rsidR="001F28DA" w:rsidRPr="00FC53F0">
        <w:rPr>
          <w:rFonts w:asciiTheme="minorEastAsia" w:eastAsiaTheme="minorEastAsia" w:hAnsiTheme="minorEastAsia" w:hint="eastAsia"/>
          <w:sz w:val="21"/>
          <w:szCs w:val="21"/>
          <w:shd w:val="clear" w:color="auto" w:fill="FFFFFF"/>
        </w:rPr>
        <w:t>故</w:t>
      </w:r>
      <w:r w:rsidR="00D00B0F" w:rsidRPr="00FC53F0">
        <w:rPr>
          <w:rFonts w:asciiTheme="minorEastAsia" w:eastAsiaTheme="minorEastAsia" w:hAnsiTheme="minorEastAsia" w:hint="eastAsia"/>
          <w:sz w:val="21"/>
          <w:szCs w:val="21"/>
          <w:shd w:val="clear" w:color="auto" w:fill="FFFFFF"/>
        </w:rPr>
        <w:t>本文</w:t>
      </w:r>
      <w:r w:rsidRPr="00FC53F0">
        <w:rPr>
          <w:rFonts w:asciiTheme="minorEastAsia" w:eastAsiaTheme="minorEastAsia" w:hAnsiTheme="minorEastAsia"/>
          <w:sz w:val="21"/>
          <w:szCs w:val="21"/>
          <w:shd w:val="clear" w:color="auto" w:fill="FFFFFF"/>
        </w:rPr>
        <w:t>选取皋兰县作为实践验证。</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本文所用</w:t>
      </w:r>
      <w:r w:rsidRPr="00FC53F0">
        <w:rPr>
          <w:rFonts w:asciiTheme="minorEastAsia" w:eastAsiaTheme="minorEastAsia" w:hAnsiTheme="minorEastAsia"/>
          <w:sz w:val="21"/>
          <w:szCs w:val="21"/>
          <w:shd w:val="clear" w:color="auto" w:fill="FFFFFF"/>
        </w:rPr>
        <w:t>原始数据来源于皋兰县自然资源局、住建局、农委等相关政府部门，土地还原率、容积率</w:t>
      </w:r>
      <w:r w:rsidR="003236B9" w:rsidRPr="00FC53F0">
        <w:rPr>
          <w:rFonts w:asciiTheme="minorEastAsia" w:eastAsiaTheme="minorEastAsia" w:hAnsiTheme="minorEastAsia" w:hint="eastAsia"/>
          <w:sz w:val="21"/>
          <w:szCs w:val="21"/>
          <w:shd w:val="clear" w:color="auto" w:fill="FFFFFF"/>
        </w:rPr>
        <w:t>数据</w:t>
      </w:r>
      <w:r w:rsidRPr="00FC53F0">
        <w:rPr>
          <w:rFonts w:asciiTheme="minorEastAsia" w:eastAsiaTheme="minorEastAsia" w:hAnsiTheme="minorEastAsia"/>
          <w:sz w:val="21"/>
          <w:szCs w:val="21"/>
          <w:shd w:val="clear" w:color="auto" w:fill="FFFFFF"/>
        </w:rPr>
        <w:t>来源于皋兰</w:t>
      </w:r>
      <w:proofErr w:type="gramStart"/>
      <w:r w:rsidRPr="00FC53F0">
        <w:rPr>
          <w:rFonts w:asciiTheme="minorEastAsia" w:eastAsiaTheme="minorEastAsia" w:hAnsiTheme="minorEastAsia"/>
          <w:sz w:val="21"/>
          <w:szCs w:val="21"/>
          <w:shd w:val="clear" w:color="auto" w:fill="FFFFFF"/>
        </w:rPr>
        <w:t>县集体</w:t>
      </w:r>
      <w:proofErr w:type="gramEnd"/>
      <w:r w:rsidRPr="00FC53F0">
        <w:rPr>
          <w:rFonts w:asciiTheme="minorEastAsia" w:eastAsiaTheme="minorEastAsia" w:hAnsiTheme="minorEastAsia"/>
          <w:sz w:val="21"/>
          <w:szCs w:val="21"/>
          <w:shd w:val="clear" w:color="auto" w:fill="FFFFFF"/>
        </w:rPr>
        <w:t>建设用地基准地价评估技术报告，皋兰县国有建设用地基准地价</w:t>
      </w:r>
      <w:r w:rsidR="003236B9" w:rsidRPr="00FC53F0">
        <w:rPr>
          <w:rFonts w:asciiTheme="minorEastAsia" w:eastAsiaTheme="minorEastAsia" w:hAnsiTheme="minorEastAsia" w:hint="eastAsia"/>
          <w:sz w:val="21"/>
          <w:szCs w:val="21"/>
          <w:shd w:val="clear" w:color="auto" w:fill="FFFFFF"/>
        </w:rPr>
        <w:t>数据</w:t>
      </w:r>
      <w:r w:rsidRPr="00FC53F0">
        <w:rPr>
          <w:rFonts w:asciiTheme="minorEastAsia" w:eastAsiaTheme="minorEastAsia" w:hAnsiTheme="minorEastAsia"/>
          <w:sz w:val="21"/>
          <w:szCs w:val="21"/>
          <w:shd w:val="clear" w:color="auto" w:fill="FFFFFF"/>
        </w:rPr>
        <w:t>来源于皋兰县自然资源局。</w:t>
      </w:r>
    </w:p>
    <w:p w:rsidR="00F5516E" w:rsidRPr="00FC53F0" w:rsidRDefault="0071268E" w:rsidP="002021E2">
      <w:pPr>
        <w:spacing w:line="360" w:lineRule="auto"/>
        <w:rPr>
          <w:rFonts w:asciiTheme="minorEastAsia" w:eastAsiaTheme="minorEastAsia" w:hAnsiTheme="minorEastAsia"/>
          <w:b/>
          <w:bCs/>
          <w:sz w:val="21"/>
          <w:szCs w:val="21"/>
          <w:shd w:val="clear" w:color="auto" w:fill="FFFFFF"/>
        </w:rPr>
      </w:pPr>
      <w:r w:rsidRPr="00FC53F0">
        <w:rPr>
          <w:rFonts w:asciiTheme="minorEastAsia" w:eastAsiaTheme="minorEastAsia" w:hAnsiTheme="minorEastAsia"/>
          <w:b/>
          <w:bCs/>
          <w:sz w:val="21"/>
          <w:szCs w:val="21"/>
          <w:shd w:val="clear" w:color="auto" w:fill="FFFFFF"/>
        </w:rPr>
        <w:lastRenderedPageBreak/>
        <w:t xml:space="preserve">2.2 </w:t>
      </w:r>
      <w:r w:rsidRPr="00FC53F0">
        <w:rPr>
          <w:rFonts w:asciiTheme="minorEastAsia" w:eastAsiaTheme="minorEastAsia" w:hAnsiTheme="minorEastAsia" w:hint="eastAsia"/>
          <w:b/>
          <w:bCs/>
          <w:sz w:val="21"/>
          <w:szCs w:val="21"/>
          <w:shd w:val="clear" w:color="auto" w:fill="FFFFFF"/>
        </w:rPr>
        <w:t>集体建设用地基准地价内涵</w:t>
      </w:r>
    </w:p>
    <w:p w:rsidR="001F28DA" w:rsidRPr="00FC53F0" w:rsidRDefault="0071268E" w:rsidP="002021E2">
      <w:pPr>
        <w:pStyle w:val="ETME"/>
        <w:spacing w:before="0"/>
        <w:ind w:firstLineChars="200" w:firstLine="420"/>
        <w:jc w:val="both"/>
        <w:rPr>
          <w:rFonts w:asciiTheme="minorEastAsia" w:eastAsiaTheme="minorEastAsia" w:hAnsiTheme="minorEastAsia"/>
          <w:color w:val="auto"/>
          <w:kern w:val="2"/>
          <w:sz w:val="21"/>
          <w:szCs w:val="21"/>
          <w:shd w:val="clear" w:color="auto" w:fill="FFFFFF"/>
        </w:rPr>
      </w:pPr>
      <w:bookmarkStart w:id="3" w:name="_Hlk46827171"/>
      <w:r w:rsidRPr="00FC53F0">
        <w:rPr>
          <w:rFonts w:asciiTheme="minorEastAsia" w:eastAsiaTheme="minorEastAsia" w:hAnsiTheme="minorEastAsia"/>
          <w:color w:val="auto"/>
          <w:kern w:val="2"/>
          <w:sz w:val="21"/>
          <w:szCs w:val="21"/>
          <w:shd w:val="clear" w:color="auto" w:fill="FFFFFF"/>
        </w:rPr>
        <w:t>集体建设用地基准地价具体内涵如下：</w:t>
      </w:r>
    </w:p>
    <w:p w:rsidR="00F5516E" w:rsidRPr="00FC53F0" w:rsidRDefault="00D00B0F" w:rsidP="002021E2">
      <w:pPr>
        <w:pStyle w:val="ETME"/>
        <w:spacing w:before="0"/>
        <w:ind w:firstLineChars="200" w:firstLine="420"/>
        <w:jc w:val="both"/>
        <w:rPr>
          <w:rFonts w:asciiTheme="minorEastAsia" w:eastAsiaTheme="minorEastAsia" w:hAnsiTheme="minorEastAsia"/>
          <w:color w:val="auto"/>
          <w:kern w:val="2"/>
          <w:sz w:val="21"/>
          <w:szCs w:val="21"/>
          <w:shd w:val="clear" w:color="auto" w:fill="FFFFFF"/>
        </w:rPr>
      </w:pPr>
      <w:r w:rsidRPr="00FC53F0">
        <w:rPr>
          <w:rFonts w:asciiTheme="minorEastAsia" w:eastAsiaTheme="minorEastAsia" w:hAnsiTheme="minorEastAsia"/>
          <w:color w:val="auto"/>
          <w:kern w:val="2"/>
          <w:sz w:val="21"/>
          <w:szCs w:val="21"/>
          <w:shd w:val="clear" w:color="auto" w:fill="FFFFFF"/>
        </w:rPr>
        <w:fldChar w:fldCharType="begin"/>
      </w:r>
      <w:r w:rsidRPr="00FC53F0">
        <w:rPr>
          <w:rFonts w:asciiTheme="minorEastAsia" w:eastAsiaTheme="minorEastAsia" w:hAnsiTheme="minorEastAsia"/>
          <w:color w:val="auto"/>
          <w:kern w:val="2"/>
          <w:sz w:val="21"/>
          <w:szCs w:val="21"/>
          <w:shd w:val="clear" w:color="auto" w:fill="FFFFFF"/>
        </w:rPr>
        <w:instrText xml:space="preserve"> </w:instrText>
      </w:r>
      <w:r w:rsidRPr="00FC53F0">
        <w:rPr>
          <w:rFonts w:asciiTheme="minorEastAsia" w:eastAsiaTheme="minorEastAsia" w:hAnsiTheme="minorEastAsia" w:hint="eastAsia"/>
          <w:color w:val="auto"/>
          <w:kern w:val="2"/>
          <w:sz w:val="21"/>
          <w:szCs w:val="21"/>
          <w:shd w:val="clear" w:color="auto" w:fill="FFFFFF"/>
        </w:rPr>
        <w:instrText>= 1 \* GB3</w:instrText>
      </w:r>
      <w:r w:rsidRPr="00FC53F0">
        <w:rPr>
          <w:rFonts w:asciiTheme="minorEastAsia" w:eastAsiaTheme="minorEastAsia" w:hAnsiTheme="minorEastAsia"/>
          <w:color w:val="auto"/>
          <w:kern w:val="2"/>
          <w:sz w:val="21"/>
          <w:szCs w:val="21"/>
          <w:shd w:val="clear" w:color="auto" w:fill="FFFFFF"/>
        </w:rPr>
        <w:instrText xml:space="preserve"> </w:instrText>
      </w:r>
      <w:r w:rsidRPr="00FC53F0">
        <w:rPr>
          <w:rFonts w:asciiTheme="minorEastAsia" w:eastAsiaTheme="minorEastAsia" w:hAnsiTheme="minorEastAsia"/>
          <w:color w:val="auto"/>
          <w:kern w:val="2"/>
          <w:sz w:val="21"/>
          <w:szCs w:val="21"/>
          <w:shd w:val="clear" w:color="auto" w:fill="FFFFFF"/>
        </w:rPr>
        <w:fldChar w:fldCharType="separate"/>
      </w:r>
      <w:r w:rsidRPr="00FC53F0">
        <w:rPr>
          <w:rFonts w:asciiTheme="minorEastAsia" w:eastAsiaTheme="minorEastAsia" w:hAnsiTheme="minorEastAsia" w:hint="eastAsia"/>
          <w:noProof/>
          <w:color w:val="auto"/>
          <w:kern w:val="2"/>
          <w:sz w:val="21"/>
          <w:szCs w:val="21"/>
          <w:shd w:val="clear" w:color="auto" w:fill="FFFFFF"/>
        </w:rPr>
        <w:t>①</w:t>
      </w:r>
      <w:r w:rsidRPr="00FC53F0">
        <w:rPr>
          <w:rFonts w:asciiTheme="minorEastAsia" w:eastAsiaTheme="minorEastAsia" w:hAnsiTheme="minorEastAsia"/>
          <w:color w:val="auto"/>
          <w:kern w:val="2"/>
          <w:sz w:val="21"/>
          <w:szCs w:val="21"/>
          <w:shd w:val="clear" w:color="auto" w:fill="FFFFFF"/>
        </w:rPr>
        <w:fldChar w:fldCharType="end"/>
      </w:r>
      <w:r w:rsidR="0071268E" w:rsidRPr="00FC53F0">
        <w:rPr>
          <w:rFonts w:asciiTheme="minorEastAsia" w:eastAsiaTheme="minorEastAsia" w:hAnsiTheme="minorEastAsia"/>
          <w:color w:val="auto"/>
          <w:kern w:val="2"/>
          <w:sz w:val="21"/>
          <w:szCs w:val="21"/>
          <w:shd w:val="clear" w:color="auto" w:fill="FFFFFF"/>
        </w:rPr>
        <w:t>基准地价应用对象：存量的集体经营性建设用地，不含新增的集体建设用地；</w:t>
      </w:r>
      <w:r w:rsidRPr="00FC53F0">
        <w:rPr>
          <w:rFonts w:asciiTheme="minorEastAsia" w:eastAsiaTheme="minorEastAsia" w:hAnsiTheme="minorEastAsia"/>
          <w:color w:val="auto"/>
          <w:kern w:val="2"/>
          <w:sz w:val="21"/>
          <w:szCs w:val="21"/>
          <w:shd w:val="clear" w:color="auto" w:fill="FFFFFF"/>
        </w:rPr>
        <w:fldChar w:fldCharType="begin"/>
      </w:r>
      <w:r w:rsidRPr="00FC53F0">
        <w:rPr>
          <w:rFonts w:asciiTheme="minorEastAsia" w:eastAsiaTheme="minorEastAsia" w:hAnsiTheme="minorEastAsia"/>
          <w:color w:val="auto"/>
          <w:kern w:val="2"/>
          <w:sz w:val="21"/>
          <w:szCs w:val="21"/>
          <w:shd w:val="clear" w:color="auto" w:fill="FFFFFF"/>
        </w:rPr>
        <w:instrText xml:space="preserve"> </w:instrText>
      </w:r>
      <w:r w:rsidRPr="00FC53F0">
        <w:rPr>
          <w:rFonts w:asciiTheme="minorEastAsia" w:eastAsiaTheme="minorEastAsia" w:hAnsiTheme="minorEastAsia" w:hint="eastAsia"/>
          <w:color w:val="auto"/>
          <w:kern w:val="2"/>
          <w:sz w:val="21"/>
          <w:szCs w:val="21"/>
          <w:shd w:val="clear" w:color="auto" w:fill="FFFFFF"/>
        </w:rPr>
        <w:instrText>= 2 \* GB3</w:instrText>
      </w:r>
      <w:r w:rsidRPr="00FC53F0">
        <w:rPr>
          <w:rFonts w:asciiTheme="minorEastAsia" w:eastAsiaTheme="minorEastAsia" w:hAnsiTheme="minorEastAsia"/>
          <w:color w:val="auto"/>
          <w:kern w:val="2"/>
          <w:sz w:val="21"/>
          <w:szCs w:val="21"/>
          <w:shd w:val="clear" w:color="auto" w:fill="FFFFFF"/>
        </w:rPr>
        <w:instrText xml:space="preserve"> </w:instrText>
      </w:r>
      <w:r w:rsidRPr="00FC53F0">
        <w:rPr>
          <w:rFonts w:asciiTheme="minorEastAsia" w:eastAsiaTheme="minorEastAsia" w:hAnsiTheme="minorEastAsia"/>
          <w:color w:val="auto"/>
          <w:kern w:val="2"/>
          <w:sz w:val="21"/>
          <w:szCs w:val="21"/>
          <w:shd w:val="clear" w:color="auto" w:fill="FFFFFF"/>
        </w:rPr>
        <w:fldChar w:fldCharType="separate"/>
      </w:r>
      <w:r w:rsidRPr="00FC53F0">
        <w:rPr>
          <w:rFonts w:asciiTheme="minorEastAsia" w:eastAsiaTheme="minorEastAsia" w:hAnsiTheme="minorEastAsia" w:hint="eastAsia"/>
          <w:noProof/>
          <w:color w:val="auto"/>
          <w:kern w:val="2"/>
          <w:sz w:val="21"/>
          <w:szCs w:val="21"/>
          <w:shd w:val="clear" w:color="auto" w:fill="FFFFFF"/>
        </w:rPr>
        <w:t>②</w:t>
      </w:r>
      <w:r w:rsidRPr="00FC53F0">
        <w:rPr>
          <w:rFonts w:asciiTheme="minorEastAsia" w:eastAsiaTheme="minorEastAsia" w:hAnsiTheme="minorEastAsia"/>
          <w:color w:val="auto"/>
          <w:kern w:val="2"/>
          <w:sz w:val="21"/>
          <w:szCs w:val="21"/>
          <w:shd w:val="clear" w:color="auto" w:fill="FFFFFF"/>
        </w:rPr>
        <w:fldChar w:fldCharType="end"/>
      </w:r>
      <w:r w:rsidR="0071268E" w:rsidRPr="00FC53F0">
        <w:rPr>
          <w:rFonts w:asciiTheme="minorEastAsia" w:eastAsiaTheme="minorEastAsia" w:hAnsiTheme="minorEastAsia"/>
          <w:color w:val="auto"/>
          <w:kern w:val="2"/>
          <w:sz w:val="21"/>
          <w:szCs w:val="21"/>
          <w:shd w:val="clear" w:color="auto" w:fill="FFFFFF"/>
        </w:rPr>
        <w:t>用途：商服用地、工矿仓储用地，不含宅基地；</w:t>
      </w:r>
      <w:r w:rsidRPr="00FC53F0">
        <w:rPr>
          <w:rFonts w:asciiTheme="minorEastAsia" w:eastAsiaTheme="minorEastAsia" w:hAnsiTheme="minorEastAsia"/>
          <w:color w:val="auto"/>
          <w:kern w:val="2"/>
          <w:sz w:val="21"/>
          <w:szCs w:val="21"/>
          <w:shd w:val="clear" w:color="auto" w:fill="FFFFFF"/>
        </w:rPr>
        <w:fldChar w:fldCharType="begin"/>
      </w:r>
      <w:r w:rsidRPr="00FC53F0">
        <w:rPr>
          <w:rFonts w:asciiTheme="minorEastAsia" w:eastAsiaTheme="minorEastAsia" w:hAnsiTheme="minorEastAsia"/>
          <w:color w:val="auto"/>
          <w:kern w:val="2"/>
          <w:sz w:val="21"/>
          <w:szCs w:val="21"/>
          <w:shd w:val="clear" w:color="auto" w:fill="FFFFFF"/>
        </w:rPr>
        <w:instrText xml:space="preserve"> </w:instrText>
      </w:r>
      <w:r w:rsidRPr="00FC53F0">
        <w:rPr>
          <w:rFonts w:asciiTheme="minorEastAsia" w:eastAsiaTheme="minorEastAsia" w:hAnsiTheme="minorEastAsia" w:hint="eastAsia"/>
          <w:color w:val="auto"/>
          <w:kern w:val="2"/>
          <w:sz w:val="21"/>
          <w:szCs w:val="21"/>
          <w:shd w:val="clear" w:color="auto" w:fill="FFFFFF"/>
        </w:rPr>
        <w:instrText>= 3 \* GB3</w:instrText>
      </w:r>
      <w:r w:rsidRPr="00FC53F0">
        <w:rPr>
          <w:rFonts w:asciiTheme="minorEastAsia" w:eastAsiaTheme="minorEastAsia" w:hAnsiTheme="minorEastAsia"/>
          <w:color w:val="auto"/>
          <w:kern w:val="2"/>
          <w:sz w:val="21"/>
          <w:szCs w:val="21"/>
          <w:shd w:val="clear" w:color="auto" w:fill="FFFFFF"/>
        </w:rPr>
        <w:instrText xml:space="preserve"> </w:instrText>
      </w:r>
      <w:r w:rsidRPr="00FC53F0">
        <w:rPr>
          <w:rFonts w:asciiTheme="minorEastAsia" w:eastAsiaTheme="minorEastAsia" w:hAnsiTheme="minorEastAsia"/>
          <w:color w:val="auto"/>
          <w:kern w:val="2"/>
          <w:sz w:val="21"/>
          <w:szCs w:val="21"/>
          <w:shd w:val="clear" w:color="auto" w:fill="FFFFFF"/>
        </w:rPr>
        <w:fldChar w:fldCharType="separate"/>
      </w:r>
      <w:r w:rsidRPr="00FC53F0">
        <w:rPr>
          <w:rFonts w:asciiTheme="minorEastAsia" w:eastAsiaTheme="minorEastAsia" w:hAnsiTheme="minorEastAsia" w:hint="eastAsia"/>
          <w:noProof/>
          <w:color w:val="auto"/>
          <w:kern w:val="2"/>
          <w:sz w:val="21"/>
          <w:szCs w:val="21"/>
          <w:shd w:val="clear" w:color="auto" w:fill="FFFFFF"/>
        </w:rPr>
        <w:t>③</w:t>
      </w:r>
      <w:r w:rsidRPr="00FC53F0">
        <w:rPr>
          <w:rFonts w:asciiTheme="minorEastAsia" w:eastAsiaTheme="minorEastAsia" w:hAnsiTheme="minorEastAsia"/>
          <w:color w:val="auto"/>
          <w:kern w:val="2"/>
          <w:sz w:val="21"/>
          <w:szCs w:val="21"/>
          <w:shd w:val="clear" w:color="auto" w:fill="FFFFFF"/>
        </w:rPr>
        <w:fldChar w:fldCharType="end"/>
      </w:r>
      <w:r w:rsidR="0071268E" w:rsidRPr="00FC53F0">
        <w:rPr>
          <w:rFonts w:asciiTheme="minorEastAsia" w:eastAsiaTheme="minorEastAsia" w:hAnsiTheme="minorEastAsia"/>
          <w:color w:val="auto"/>
          <w:kern w:val="2"/>
          <w:sz w:val="21"/>
          <w:szCs w:val="21"/>
          <w:shd w:val="clear" w:color="auto" w:fill="FFFFFF"/>
        </w:rPr>
        <w:t>基准地价估价期日：2019年1月1日；</w:t>
      </w:r>
      <w:r w:rsidRPr="00FC53F0">
        <w:rPr>
          <w:rFonts w:asciiTheme="minorEastAsia" w:eastAsiaTheme="minorEastAsia" w:hAnsiTheme="minorEastAsia"/>
          <w:color w:val="auto"/>
          <w:kern w:val="2"/>
          <w:sz w:val="21"/>
          <w:szCs w:val="21"/>
          <w:shd w:val="clear" w:color="auto" w:fill="FFFFFF"/>
        </w:rPr>
        <w:fldChar w:fldCharType="begin"/>
      </w:r>
      <w:r w:rsidRPr="00FC53F0">
        <w:rPr>
          <w:rFonts w:asciiTheme="minorEastAsia" w:eastAsiaTheme="minorEastAsia" w:hAnsiTheme="minorEastAsia"/>
          <w:color w:val="auto"/>
          <w:kern w:val="2"/>
          <w:sz w:val="21"/>
          <w:szCs w:val="21"/>
          <w:shd w:val="clear" w:color="auto" w:fill="FFFFFF"/>
        </w:rPr>
        <w:instrText xml:space="preserve"> </w:instrText>
      </w:r>
      <w:r w:rsidRPr="00FC53F0">
        <w:rPr>
          <w:rFonts w:asciiTheme="minorEastAsia" w:eastAsiaTheme="minorEastAsia" w:hAnsiTheme="minorEastAsia" w:hint="eastAsia"/>
          <w:color w:val="auto"/>
          <w:kern w:val="2"/>
          <w:sz w:val="21"/>
          <w:szCs w:val="21"/>
          <w:shd w:val="clear" w:color="auto" w:fill="FFFFFF"/>
        </w:rPr>
        <w:instrText>= 4 \* GB3</w:instrText>
      </w:r>
      <w:r w:rsidRPr="00FC53F0">
        <w:rPr>
          <w:rFonts w:asciiTheme="minorEastAsia" w:eastAsiaTheme="minorEastAsia" w:hAnsiTheme="minorEastAsia"/>
          <w:color w:val="auto"/>
          <w:kern w:val="2"/>
          <w:sz w:val="21"/>
          <w:szCs w:val="21"/>
          <w:shd w:val="clear" w:color="auto" w:fill="FFFFFF"/>
        </w:rPr>
        <w:instrText xml:space="preserve"> </w:instrText>
      </w:r>
      <w:r w:rsidRPr="00FC53F0">
        <w:rPr>
          <w:rFonts w:asciiTheme="minorEastAsia" w:eastAsiaTheme="minorEastAsia" w:hAnsiTheme="minorEastAsia"/>
          <w:color w:val="auto"/>
          <w:kern w:val="2"/>
          <w:sz w:val="21"/>
          <w:szCs w:val="21"/>
          <w:shd w:val="clear" w:color="auto" w:fill="FFFFFF"/>
        </w:rPr>
        <w:fldChar w:fldCharType="separate"/>
      </w:r>
      <w:r w:rsidRPr="00FC53F0">
        <w:rPr>
          <w:rFonts w:asciiTheme="minorEastAsia" w:eastAsiaTheme="minorEastAsia" w:hAnsiTheme="minorEastAsia" w:hint="eastAsia"/>
          <w:noProof/>
          <w:color w:val="auto"/>
          <w:kern w:val="2"/>
          <w:sz w:val="21"/>
          <w:szCs w:val="21"/>
          <w:shd w:val="clear" w:color="auto" w:fill="FFFFFF"/>
        </w:rPr>
        <w:t>④</w:t>
      </w:r>
      <w:r w:rsidRPr="00FC53F0">
        <w:rPr>
          <w:rFonts w:asciiTheme="minorEastAsia" w:eastAsiaTheme="minorEastAsia" w:hAnsiTheme="minorEastAsia"/>
          <w:color w:val="auto"/>
          <w:kern w:val="2"/>
          <w:sz w:val="21"/>
          <w:szCs w:val="21"/>
          <w:shd w:val="clear" w:color="auto" w:fill="FFFFFF"/>
        </w:rPr>
        <w:fldChar w:fldCharType="end"/>
      </w:r>
      <w:r w:rsidR="0071268E" w:rsidRPr="00FC53F0">
        <w:rPr>
          <w:rFonts w:asciiTheme="minorEastAsia" w:eastAsiaTheme="minorEastAsia" w:hAnsiTheme="minorEastAsia"/>
          <w:color w:val="auto"/>
          <w:kern w:val="2"/>
          <w:sz w:val="21"/>
          <w:szCs w:val="21"/>
          <w:shd w:val="clear" w:color="auto" w:fill="FFFFFF"/>
        </w:rPr>
        <w:t>最高使用年限：参考国有建设用地使用权出让法定最高年限确定，商服用地40年，工矿仓储用地50年；</w:t>
      </w:r>
      <w:r w:rsidRPr="00FC53F0">
        <w:rPr>
          <w:rFonts w:asciiTheme="minorEastAsia" w:eastAsiaTheme="minorEastAsia" w:hAnsiTheme="minorEastAsia"/>
          <w:color w:val="auto"/>
          <w:kern w:val="2"/>
          <w:sz w:val="21"/>
          <w:szCs w:val="21"/>
          <w:shd w:val="clear" w:color="auto" w:fill="FFFFFF"/>
        </w:rPr>
        <w:fldChar w:fldCharType="begin"/>
      </w:r>
      <w:r w:rsidRPr="00FC53F0">
        <w:rPr>
          <w:rFonts w:asciiTheme="minorEastAsia" w:eastAsiaTheme="minorEastAsia" w:hAnsiTheme="minorEastAsia"/>
          <w:color w:val="auto"/>
          <w:kern w:val="2"/>
          <w:sz w:val="21"/>
          <w:szCs w:val="21"/>
          <w:shd w:val="clear" w:color="auto" w:fill="FFFFFF"/>
        </w:rPr>
        <w:instrText xml:space="preserve"> </w:instrText>
      </w:r>
      <w:r w:rsidRPr="00FC53F0">
        <w:rPr>
          <w:rFonts w:asciiTheme="minorEastAsia" w:eastAsiaTheme="minorEastAsia" w:hAnsiTheme="minorEastAsia" w:hint="eastAsia"/>
          <w:color w:val="auto"/>
          <w:kern w:val="2"/>
          <w:sz w:val="21"/>
          <w:szCs w:val="21"/>
          <w:shd w:val="clear" w:color="auto" w:fill="FFFFFF"/>
        </w:rPr>
        <w:instrText>= 5 \* GB3</w:instrText>
      </w:r>
      <w:r w:rsidRPr="00FC53F0">
        <w:rPr>
          <w:rFonts w:asciiTheme="minorEastAsia" w:eastAsiaTheme="minorEastAsia" w:hAnsiTheme="minorEastAsia"/>
          <w:color w:val="auto"/>
          <w:kern w:val="2"/>
          <w:sz w:val="21"/>
          <w:szCs w:val="21"/>
          <w:shd w:val="clear" w:color="auto" w:fill="FFFFFF"/>
        </w:rPr>
        <w:instrText xml:space="preserve"> </w:instrText>
      </w:r>
      <w:r w:rsidRPr="00FC53F0">
        <w:rPr>
          <w:rFonts w:asciiTheme="minorEastAsia" w:eastAsiaTheme="minorEastAsia" w:hAnsiTheme="minorEastAsia"/>
          <w:color w:val="auto"/>
          <w:kern w:val="2"/>
          <w:sz w:val="21"/>
          <w:szCs w:val="21"/>
          <w:shd w:val="clear" w:color="auto" w:fill="FFFFFF"/>
        </w:rPr>
        <w:fldChar w:fldCharType="separate"/>
      </w:r>
      <w:r w:rsidRPr="00FC53F0">
        <w:rPr>
          <w:rFonts w:asciiTheme="minorEastAsia" w:eastAsiaTheme="minorEastAsia" w:hAnsiTheme="minorEastAsia" w:hint="eastAsia"/>
          <w:noProof/>
          <w:color w:val="auto"/>
          <w:kern w:val="2"/>
          <w:sz w:val="21"/>
          <w:szCs w:val="21"/>
          <w:shd w:val="clear" w:color="auto" w:fill="FFFFFF"/>
        </w:rPr>
        <w:t>⑤</w:t>
      </w:r>
      <w:r w:rsidRPr="00FC53F0">
        <w:rPr>
          <w:rFonts w:asciiTheme="minorEastAsia" w:eastAsiaTheme="minorEastAsia" w:hAnsiTheme="minorEastAsia"/>
          <w:color w:val="auto"/>
          <w:kern w:val="2"/>
          <w:sz w:val="21"/>
          <w:szCs w:val="21"/>
          <w:shd w:val="clear" w:color="auto" w:fill="FFFFFF"/>
        </w:rPr>
        <w:fldChar w:fldCharType="end"/>
      </w:r>
      <w:r w:rsidR="0071268E" w:rsidRPr="00FC53F0">
        <w:rPr>
          <w:rFonts w:asciiTheme="minorEastAsia" w:eastAsiaTheme="minorEastAsia" w:hAnsiTheme="minorEastAsia"/>
          <w:color w:val="auto"/>
          <w:kern w:val="2"/>
          <w:sz w:val="21"/>
          <w:szCs w:val="21"/>
          <w:shd w:val="clear" w:color="auto" w:fill="FFFFFF"/>
        </w:rPr>
        <w:t>参考皋兰</w:t>
      </w:r>
      <w:proofErr w:type="gramStart"/>
      <w:r w:rsidR="0071268E" w:rsidRPr="00FC53F0">
        <w:rPr>
          <w:rFonts w:asciiTheme="minorEastAsia" w:eastAsiaTheme="minorEastAsia" w:hAnsiTheme="minorEastAsia"/>
          <w:color w:val="auto"/>
          <w:kern w:val="2"/>
          <w:sz w:val="21"/>
          <w:szCs w:val="21"/>
          <w:shd w:val="clear" w:color="auto" w:fill="FFFFFF"/>
        </w:rPr>
        <w:t>县集体</w:t>
      </w:r>
      <w:proofErr w:type="gramEnd"/>
      <w:r w:rsidR="0071268E" w:rsidRPr="00FC53F0">
        <w:rPr>
          <w:rFonts w:asciiTheme="minorEastAsia" w:eastAsiaTheme="minorEastAsia" w:hAnsiTheme="minorEastAsia"/>
          <w:color w:val="auto"/>
          <w:kern w:val="2"/>
          <w:sz w:val="21"/>
          <w:szCs w:val="21"/>
          <w:shd w:val="clear" w:color="auto" w:fill="FFFFFF"/>
        </w:rPr>
        <w:t>建设用地土地利用情况，设定皋兰</w:t>
      </w:r>
      <w:proofErr w:type="gramStart"/>
      <w:r w:rsidR="0071268E" w:rsidRPr="00FC53F0">
        <w:rPr>
          <w:rFonts w:asciiTheme="minorEastAsia" w:eastAsiaTheme="minorEastAsia" w:hAnsiTheme="minorEastAsia"/>
          <w:color w:val="auto"/>
          <w:kern w:val="2"/>
          <w:sz w:val="21"/>
          <w:szCs w:val="21"/>
          <w:shd w:val="clear" w:color="auto" w:fill="FFFFFF"/>
        </w:rPr>
        <w:t>县集体</w:t>
      </w:r>
      <w:proofErr w:type="gramEnd"/>
      <w:r w:rsidR="0071268E" w:rsidRPr="00FC53F0">
        <w:rPr>
          <w:rFonts w:asciiTheme="minorEastAsia" w:eastAsiaTheme="minorEastAsia" w:hAnsiTheme="minorEastAsia"/>
          <w:color w:val="auto"/>
          <w:kern w:val="2"/>
          <w:sz w:val="21"/>
          <w:szCs w:val="21"/>
          <w:shd w:val="clear" w:color="auto" w:fill="FFFFFF"/>
        </w:rPr>
        <w:t>建设用地基准地价开发程度为“三通一平”（通路、通电、通水和红线内场地平整）；</w:t>
      </w:r>
      <w:r w:rsidRPr="00FC53F0">
        <w:rPr>
          <w:rFonts w:asciiTheme="minorEastAsia" w:eastAsiaTheme="minorEastAsia" w:hAnsiTheme="minorEastAsia"/>
          <w:color w:val="auto"/>
          <w:kern w:val="2"/>
          <w:sz w:val="21"/>
          <w:szCs w:val="21"/>
          <w:shd w:val="clear" w:color="auto" w:fill="FFFFFF"/>
        </w:rPr>
        <w:fldChar w:fldCharType="begin"/>
      </w:r>
      <w:r w:rsidRPr="00FC53F0">
        <w:rPr>
          <w:rFonts w:asciiTheme="minorEastAsia" w:eastAsiaTheme="minorEastAsia" w:hAnsiTheme="minorEastAsia"/>
          <w:color w:val="auto"/>
          <w:kern w:val="2"/>
          <w:sz w:val="21"/>
          <w:szCs w:val="21"/>
          <w:shd w:val="clear" w:color="auto" w:fill="FFFFFF"/>
        </w:rPr>
        <w:instrText xml:space="preserve"> </w:instrText>
      </w:r>
      <w:r w:rsidRPr="00FC53F0">
        <w:rPr>
          <w:rFonts w:asciiTheme="minorEastAsia" w:eastAsiaTheme="minorEastAsia" w:hAnsiTheme="minorEastAsia" w:hint="eastAsia"/>
          <w:color w:val="auto"/>
          <w:kern w:val="2"/>
          <w:sz w:val="21"/>
          <w:szCs w:val="21"/>
          <w:shd w:val="clear" w:color="auto" w:fill="FFFFFF"/>
        </w:rPr>
        <w:instrText>= 6 \* GB3</w:instrText>
      </w:r>
      <w:r w:rsidRPr="00FC53F0">
        <w:rPr>
          <w:rFonts w:asciiTheme="minorEastAsia" w:eastAsiaTheme="minorEastAsia" w:hAnsiTheme="minorEastAsia"/>
          <w:color w:val="auto"/>
          <w:kern w:val="2"/>
          <w:sz w:val="21"/>
          <w:szCs w:val="21"/>
          <w:shd w:val="clear" w:color="auto" w:fill="FFFFFF"/>
        </w:rPr>
        <w:instrText xml:space="preserve"> </w:instrText>
      </w:r>
      <w:r w:rsidRPr="00FC53F0">
        <w:rPr>
          <w:rFonts w:asciiTheme="minorEastAsia" w:eastAsiaTheme="minorEastAsia" w:hAnsiTheme="minorEastAsia"/>
          <w:color w:val="auto"/>
          <w:kern w:val="2"/>
          <w:sz w:val="21"/>
          <w:szCs w:val="21"/>
          <w:shd w:val="clear" w:color="auto" w:fill="FFFFFF"/>
        </w:rPr>
        <w:fldChar w:fldCharType="separate"/>
      </w:r>
      <w:r w:rsidRPr="00FC53F0">
        <w:rPr>
          <w:rFonts w:asciiTheme="minorEastAsia" w:eastAsiaTheme="minorEastAsia" w:hAnsiTheme="minorEastAsia" w:hint="eastAsia"/>
          <w:noProof/>
          <w:color w:val="auto"/>
          <w:kern w:val="2"/>
          <w:sz w:val="21"/>
          <w:szCs w:val="21"/>
          <w:shd w:val="clear" w:color="auto" w:fill="FFFFFF"/>
        </w:rPr>
        <w:t>⑥</w:t>
      </w:r>
      <w:r w:rsidRPr="00FC53F0">
        <w:rPr>
          <w:rFonts w:asciiTheme="minorEastAsia" w:eastAsiaTheme="minorEastAsia" w:hAnsiTheme="minorEastAsia"/>
          <w:color w:val="auto"/>
          <w:kern w:val="2"/>
          <w:sz w:val="21"/>
          <w:szCs w:val="21"/>
          <w:shd w:val="clear" w:color="auto" w:fill="FFFFFF"/>
        </w:rPr>
        <w:fldChar w:fldCharType="end"/>
      </w:r>
      <w:r w:rsidR="0071268E" w:rsidRPr="00FC53F0">
        <w:rPr>
          <w:rFonts w:asciiTheme="minorEastAsia" w:eastAsiaTheme="minorEastAsia" w:hAnsiTheme="minorEastAsia"/>
          <w:color w:val="auto"/>
          <w:kern w:val="2"/>
          <w:sz w:val="21"/>
          <w:szCs w:val="21"/>
          <w:shd w:val="clear" w:color="auto" w:fill="FFFFFF"/>
        </w:rPr>
        <w:t>平均容积率：根据皋兰</w:t>
      </w:r>
      <w:proofErr w:type="gramStart"/>
      <w:r w:rsidR="0071268E" w:rsidRPr="00FC53F0">
        <w:rPr>
          <w:rFonts w:asciiTheme="minorEastAsia" w:eastAsiaTheme="minorEastAsia" w:hAnsiTheme="minorEastAsia"/>
          <w:color w:val="auto"/>
          <w:kern w:val="2"/>
          <w:sz w:val="21"/>
          <w:szCs w:val="21"/>
          <w:shd w:val="clear" w:color="auto" w:fill="FFFFFF"/>
        </w:rPr>
        <w:t>县集体</w:t>
      </w:r>
      <w:proofErr w:type="gramEnd"/>
      <w:r w:rsidR="0071268E" w:rsidRPr="00FC53F0">
        <w:rPr>
          <w:rFonts w:asciiTheme="minorEastAsia" w:eastAsiaTheme="minorEastAsia" w:hAnsiTheme="minorEastAsia"/>
          <w:color w:val="auto"/>
          <w:kern w:val="2"/>
          <w:sz w:val="21"/>
          <w:szCs w:val="21"/>
          <w:shd w:val="clear" w:color="auto" w:fill="FFFFFF"/>
        </w:rPr>
        <w:t>建设用地实际情况，设定区域平均容积率为商服用地1.0、工矿仓储用地0.7；</w:t>
      </w:r>
      <w:r w:rsidRPr="00FC53F0">
        <w:rPr>
          <w:rFonts w:asciiTheme="minorEastAsia" w:eastAsiaTheme="minorEastAsia" w:hAnsiTheme="minorEastAsia"/>
          <w:color w:val="auto"/>
          <w:kern w:val="2"/>
          <w:sz w:val="21"/>
          <w:szCs w:val="21"/>
          <w:shd w:val="clear" w:color="auto" w:fill="FFFFFF"/>
        </w:rPr>
        <w:fldChar w:fldCharType="begin"/>
      </w:r>
      <w:r w:rsidRPr="00FC53F0">
        <w:rPr>
          <w:rFonts w:asciiTheme="minorEastAsia" w:eastAsiaTheme="minorEastAsia" w:hAnsiTheme="minorEastAsia"/>
          <w:color w:val="auto"/>
          <w:kern w:val="2"/>
          <w:sz w:val="21"/>
          <w:szCs w:val="21"/>
          <w:shd w:val="clear" w:color="auto" w:fill="FFFFFF"/>
        </w:rPr>
        <w:instrText xml:space="preserve"> </w:instrText>
      </w:r>
      <w:r w:rsidRPr="00FC53F0">
        <w:rPr>
          <w:rFonts w:asciiTheme="minorEastAsia" w:eastAsiaTheme="minorEastAsia" w:hAnsiTheme="minorEastAsia" w:hint="eastAsia"/>
          <w:color w:val="auto"/>
          <w:kern w:val="2"/>
          <w:sz w:val="21"/>
          <w:szCs w:val="21"/>
          <w:shd w:val="clear" w:color="auto" w:fill="FFFFFF"/>
        </w:rPr>
        <w:instrText>= 7 \* GB3</w:instrText>
      </w:r>
      <w:r w:rsidRPr="00FC53F0">
        <w:rPr>
          <w:rFonts w:asciiTheme="minorEastAsia" w:eastAsiaTheme="minorEastAsia" w:hAnsiTheme="minorEastAsia"/>
          <w:color w:val="auto"/>
          <w:kern w:val="2"/>
          <w:sz w:val="21"/>
          <w:szCs w:val="21"/>
          <w:shd w:val="clear" w:color="auto" w:fill="FFFFFF"/>
        </w:rPr>
        <w:instrText xml:space="preserve"> </w:instrText>
      </w:r>
      <w:r w:rsidRPr="00FC53F0">
        <w:rPr>
          <w:rFonts w:asciiTheme="minorEastAsia" w:eastAsiaTheme="minorEastAsia" w:hAnsiTheme="minorEastAsia"/>
          <w:color w:val="auto"/>
          <w:kern w:val="2"/>
          <w:sz w:val="21"/>
          <w:szCs w:val="21"/>
          <w:shd w:val="clear" w:color="auto" w:fill="FFFFFF"/>
        </w:rPr>
        <w:fldChar w:fldCharType="separate"/>
      </w:r>
      <w:r w:rsidRPr="00FC53F0">
        <w:rPr>
          <w:rFonts w:asciiTheme="minorEastAsia" w:eastAsiaTheme="minorEastAsia" w:hAnsiTheme="minorEastAsia" w:hint="eastAsia"/>
          <w:noProof/>
          <w:color w:val="auto"/>
          <w:kern w:val="2"/>
          <w:sz w:val="21"/>
          <w:szCs w:val="21"/>
          <w:shd w:val="clear" w:color="auto" w:fill="FFFFFF"/>
        </w:rPr>
        <w:t>⑦</w:t>
      </w:r>
      <w:r w:rsidRPr="00FC53F0">
        <w:rPr>
          <w:rFonts w:asciiTheme="minorEastAsia" w:eastAsiaTheme="minorEastAsia" w:hAnsiTheme="minorEastAsia"/>
          <w:color w:val="auto"/>
          <w:kern w:val="2"/>
          <w:sz w:val="21"/>
          <w:szCs w:val="21"/>
          <w:shd w:val="clear" w:color="auto" w:fill="FFFFFF"/>
        </w:rPr>
        <w:fldChar w:fldCharType="end"/>
      </w:r>
      <w:r w:rsidR="0071268E" w:rsidRPr="00FC53F0">
        <w:rPr>
          <w:rFonts w:asciiTheme="minorEastAsia" w:eastAsiaTheme="minorEastAsia" w:hAnsiTheme="minorEastAsia"/>
          <w:color w:val="auto"/>
          <w:kern w:val="2"/>
          <w:sz w:val="21"/>
          <w:szCs w:val="21"/>
          <w:shd w:val="clear" w:color="auto" w:fill="FFFFFF"/>
        </w:rPr>
        <w:t>权利状况：符合目前国家相关法律法规要求的集体建设用地土地使用权。</w:t>
      </w:r>
    </w:p>
    <w:p w:rsidR="00F5516E" w:rsidRPr="00FC53F0" w:rsidRDefault="0071268E" w:rsidP="002021E2">
      <w:pPr>
        <w:pStyle w:val="ETME"/>
        <w:spacing w:before="0"/>
        <w:ind w:firstLineChars="200" w:firstLine="420"/>
        <w:jc w:val="both"/>
        <w:rPr>
          <w:rFonts w:asciiTheme="minorEastAsia" w:eastAsiaTheme="minorEastAsia" w:hAnsiTheme="minorEastAsia"/>
          <w:color w:val="auto"/>
          <w:kern w:val="2"/>
          <w:sz w:val="21"/>
          <w:szCs w:val="21"/>
          <w:shd w:val="clear" w:color="auto" w:fill="FFFFFF"/>
        </w:rPr>
      </w:pPr>
      <w:r w:rsidRPr="00FC53F0">
        <w:rPr>
          <w:rFonts w:asciiTheme="minorEastAsia" w:eastAsiaTheme="minorEastAsia" w:hAnsiTheme="minorEastAsia"/>
          <w:color w:val="auto"/>
          <w:kern w:val="2"/>
          <w:sz w:val="21"/>
          <w:szCs w:val="21"/>
          <w:shd w:val="clear" w:color="auto" w:fill="FFFFFF"/>
        </w:rPr>
        <w:t>根据</w:t>
      </w:r>
      <w:r w:rsidR="00D00B0F" w:rsidRPr="00FC53F0">
        <w:rPr>
          <w:rFonts w:asciiTheme="minorEastAsia" w:eastAsiaTheme="minorEastAsia" w:hAnsiTheme="minorEastAsia" w:hint="eastAsia"/>
          <w:color w:val="auto"/>
          <w:kern w:val="2"/>
          <w:sz w:val="21"/>
          <w:szCs w:val="21"/>
          <w:shd w:val="clear" w:color="auto" w:fill="FFFFFF"/>
        </w:rPr>
        <w:t>“国办发〔</w:t>
      </w:r>
      <w:r w:rsidR="00D00B0F" w:rsidRPr="00FC53F0">
        <w:rPr>
          <w:rFonts w:asciiTheme="minorEastAsia" w:eastAsiaTheme="minorEastAsia" w:hAnsiTheme="minorEastAsia"/>
          <w:color w:val="auto"/>
          <w:kern w:val="2"/>
          <w:sz w:val="21"/>
          <w:szCs w:val="21"/>
          <w:shd w:val="clear" w:color="auto" w:fill="FFFFFF"/>
        </w:rPr>
        <w:t>2007</w:t>
      </w:r>
      <w:r w:rsidR="00D00B0F" w:rsidRPr="00FC53F0">
        <w:rPr>
          <w:rFonts w:asciiTheme="minorEastAsia" w:eastAsiaTheme="minorEastAsia" w:hAnsiTheme="minorEastAsia" w:hint="eastAsia"/>
          <w:color w:val="auto"/>
          <w:kern w:val="2"/>
          <w:sz w:val="21"/>
          <w:szCs w:val="21"/>
          <w:shd w:val="clear" w:color="auto" w:fill="FFFFFF"/>
        </w:rPr>
        <w:t>〕</w:t>
      </w:r>
      <w:r w:rsidRPr="00FC53F0">
        <w:rPr>
          <w:rFonts w:asciiTheme="minorEastAsia" w:eastAsiaTheme="minorEastAsia" w:hAnsiTheme="minorEastAsia"/>
          <w:color w:val="auto"/>
          <w:kern w:val="2"/>
          <w:sz w:val="21"/>
          <w:szCs w:val="21"/>
          <w:shd w:val="clear" w:color="auto" w:fill="FFFFFF"/>
        </w:rPr>
        <w:t>71号文</w:t>
      </w:r>
      <w:r w:rsidR="00D00B0F" w:rsidRPr="00FC53F0">
        <w:rPr>
          <w:rFonts w:asciiTheme="minorEastAsia" w:eastAsiaTheme="minorEastAsia" w:hAnsiTheme="minorEastAsia" w:hint="eastAsia"/>
          <w:color w:val="auto"/>
          <w:kern w:val="2"/>
          <w:sz w:val="21"/>
          <w:szCs w:val="21"/>
          <w:shd w:val="clear" w:color="auto" w:fill="FFFFFF"/>
        </w:rPr>
        <w:t>”</w:t>
      </w:r>
      <w:r w:rsidRPr="00FC53F0">
        <w:rPr>
          <w:rFonts w:asciiTheme="minorEastAsia" w:eastAsiaTheme="minorEastAsia" w:hAnsiTheme="minorEastAsia"/>
          <w:color w:val="auto"/>
          <w:kern w:val="2"/>
          <w:sz w:val="21"/>
          <w:szCs w:val="21"/>
          <w:shd w:val="clear" w:color="auto" w:fill="FFFFFF"/>
        </w:rPr>
        <w:t>等文件，针对宅基地制度改革提到</w:t>
      </w:r>
      <w:r w:rsidRPr="00FC53F0">
        <w:rPr>
          <w:rFonts w:asciiTheme="minorEastAsia" w:eastAsiaTheme="minorEastAsia" w:hAnsiTheme="minorEastAsia" w:hint="eastAsia"/>
          <w:color w:val="auto"/>
          <w:kern w:val="2"/>
          <w:sz w:val="21"/>
          <w:szCs w:val="21"/>
          <w:shd w:val="clear" w:color="auto" w:fill="FFFFFF"/>
        </w:rPr>
        <w:t>“</w:t>
      </w:r>
      <w:r w:rsidRPr="00FC53F0">
        <w:rPr>
          <w:rFonts w:asciiTheme="minorEastAsia" w:eastAsiaTheme="minorEastAsia" w:hAnsiTheme="minorEastAsia"/>
          <w:color w:val="auto"/>
          <w:kern w:val="2"/>
          <w:sz w:val="21"/>
          <w:szCs w:val="21"/>
          <w:shd w:val="clear" w:color="auto" w:fill="FFFFFF"/>
        </w:rPr>
        <w:t>探索宅基地有偿使用制度、宅基地自愿有偿退出机制</w:t>
      </w:r>
      <w:r w:rsidRPr="00FC53F0">
        <w:rPr>
          <w:rFonts w:asciiTheme="minorEastAsia" w:eastAsiaTheme="minorEastAsia" w:hAnsiTheme="minorEastAsia" w:hint="eastAsia"/>
          <w:color w:val="auto"/>
          <w:kern w:val="2"/>
          <w:sz w:val="21"/>
          <w:szCs w:val="21"/>
          <w:shd w:val="clear" w:color="auto" w:fill="FFFFFF"/>
        </w:rPr>
        <w:t>”</w:t>
      </w:r>
      <w:r w:rsidRPr="00FC53F0">
        <w:rPr>
          <w:rFonts w:asciiTheme="minorEastAsia" w:eastAsiaTheme="minorEastAsia" w:hAnsiTheme="minorEastAsia"/>
          <w:color w:val="auto"/>
          <w:kern w:val="2"/>
          <w:sz w:val="21"/>
          <w:szCs w:val="21"/>
          <w:shd w:val="clear" w:color="auto" w:fill="FFFFFF"/>
        </w:rPr>
        <w:t>，但对宅基地年限设定</w:t>
      </w:r>
      <w:r w:rsidR="003236B9" w:rsidRPr="00FC53F0">
        <w:rPr>
          <w:rFonts w:asciiTheme="minorEastAsia" w:eastAsiaTheme="minorEastAsia" w:hAnsiTheme="minorEastAsia" w:hint="eastAsia"/>
          <w:color w:val="auto"/>
          <w:kern w:val="2"/>
          <w:sz w:val="21"/>
          <w:szCs w:val="21"/>
          <w:shd w:val="clear" w:color="auto" w:fill="FFFFFF"/>
        </w:rPr>
        <w:t>、</w:t>
      </w:r>
      <w:r w:rsidRPr="00FC53F0">
        <w:rPr>
          <w:rFonts w:asciiTheme="minorEastAsia" w:eastAsiaTheme="minorEastAsia" w:hAnsiTheme="minorEastAsia"/>
          <w:color w:val="auto"/>
          <w:kern w:val="2"/>
          <w:sz w:val="21"/>
          <w:szCs w:val="21"/>
          <w:shd w:val="clear" w:color="auto" w:fill="FFFFFF"/>
        </w:rPr>
        <w:t>成本获取等存在争议，无法确定。因此在皋兰县试点工作中地价用途并未包括宅基地（住宅），待相关法律</w:t>
      </w:r>
      <w:r w:rsidR="003236B9" w:rsidRPr="00FC53F0">
        <w:rPr>
          <w:rFonts w:asciiTheme="minorEastAsia" w:eastAsiaTheme="minorEastAsia" w:hAnsiTheme="minorEastAsia" w:hint="eastAsia"/>
          <w:color w:val="auto"/>
          <w:kern w:val="2"/>
          <w:sz w:val="21"/>
          <w:szCs w:val="21"/>
          <w:shd w:val="clear" w:color="auto" w:fill="FFFFFF"/>
        </w:rPr>
        <w:t>完善和</w:t>
      </w:r>
      <w:r w:rsidRPr="00FC53F0">
        <w:rPr>
          <w:rFonts w:asciiTheme="minorEastAsia" w:eastAsiaTheme="minorEastAsia" w:hAnsiTheme="minorEastAsia"/>
          <w:color w:val="auto"/>
          <w:kern w:val="2"/>
          <w:sz w:val="21"/>
          <w:szCs w:val="21"/>
          <w:shd w:val="clear" w:color="auto" w:fill="FFFFFF"/>
        </w:rPr>
        <w:t>集体土地市场逐渐建立后，可进行基准地价更新，将宅基地（住宅）纳入到基准地价中。且目前我国法律明确规定农村住宅使用权不得流转；以出让、转让和出租方式取得的集体建设用地不得用于商品房开发建设。就现实情况来看，由于法律对宅基地有较大限制，所以本文认为</w:t>
      </w:r>
      <w:r w:rsidR="003236B9" w:rsidRPr="00FC53F0">
        <w:rPr>
          <w:rFonts w:asciiTheme="minorEastAsia" w:eastAsiaTheme="minorEastAsia" w:hAnsiTheme="minorEastAsia" w:hint="eastAsia"/>
          <w:color w:val="auto"/>
          <w:kern w:val="2"/>
          <w:sz w:val="21"/>
          <w:szCs w:val="21"/>
          <w:shd w:val="clear" w:color="auto" w:fill="FFFFFF"/>
        </w:rPr>
        <w:t>无法</w:t>
      </w:r>
      <w:r w:rsidRPr="00FC53F0">
        <w:rPr>
          <w:rFonts w:asciiTheme="minorEastAsia" w:eastAsiaTheme="minorEastAsia" w:hAnsiTheme="minorEastAsia"/>
          <w:color w:val="auto"/>
          <w:kern w:val="2"/>
          <w:sz w:val="21"/>
          <w:szCs w:val="21"/>
          <w:shd w:val="clear" w:color="auto" w:fill="FFFFFF"/>
        </w:rPr>
        <w:t>将宅基地纳入集体建设用地定级估价范围</w:t>
      </w:r>
      <w:r w:rsidR="003236B9" w:rsidRPr="00FC53F0">
        <w:rPr>
          <w:rFonts w:asciiTheme="minorEastAsia" w:eastAsiaTheme="minorEastAsia" w:hAnsiTheme="minorEastAsia" w:hint="eastAsia"/>
          <w:color w:val="auto"/>
          <w:kern w:val="2"/>
          <w:sz w:val="21"/>
          <w:szCs w:val="21"/>
          <w:shd w:val="clear" w:color="auto" w:fill="FFFFFF"/>
        </w:rPr>
        <w:t>。</w:t>
      </w:r>
      <w:r w:rsidRPr="00FC53F0">
        <w:rPr>
          <w:rFonts w:asciiTheme="minorEastAsia" w:eastAsiaTheme="minorEastAsia" w:hAnsiTheme="minorEastAsia"/>
          <w:color w:val="auto"/>
          <w:kern w:val="2"/>
          <w:sz w:val="21"/>
          <w:szCs w:val="21"/>
          <w:shd w:val="clear" w:color="auto" w:fill="FFFFFF"/>
        </w:rPr>
        <w:t>本文研究对象集体建设用地其实质就是农村集体经营性建设用地。因此本文集体建设用地估价将集体建设用地划分为商服用地、工矿仓储用地两种类型。</w:t>
      </w:r>
    </w:p>
    <w:p w:rsidR="00F5516E" w:rsidRPr="00FC53F0" w:rsidRDefault="0071268E" w:rsidP="002021E2">
      <w:pPr>
        <w:spacing w:line="360" w:lineRule="auto"/>
        <w:rPr>
          <w:rFonts w:asciiTheme="minorEastAsia" w:eastAsiaTheme="minorEastAsia" w:hAnsiTheme="minorEastAsia"/>
          <w:b/>
          <w:bCs/>
          <w:sz w:val="21"/>
          <w:szCs w:val="21"/>
          <w:shd w:val="clear" w:color="auto" w:fill="FFFFFF"/>
        </w:rPr>
      </w:pPr>
      <w:r w:rsidRPr="00FC53F0">
        <w:rPr>
          <w:rFonts w:asciiTheme="minorEastAsia" w:eastAsiaTheme="minorEastAsia" w:hAnsiTheme="minorEastAsia"/>
          <w:b/>
          <w:bCs/>
          <w:sz w:val="21"/>
          <w:szCs w:val="21"/>
          <w:shd w:val="clear" w:color="auto" w:fill="FFFFFF"/>
        </w:rPr>
        <w:t xml:space="preserve">2.3 </w:t>
      </w:r>
      <w:r w:rsidRPr="00FC53F0">
        <w:rPr>
          <w:rFonts w:asciiTheme="minorEastAsia" w:eastAsiaTheme="minorEastAsia" w:hAnsiTheme="minorEastAsia" w:hint="eastAsia"/>
          <w:b/>
          <w:bCs/>
          <w:sz w:val="21"/>
          <w:szCs w:val="21"/>
          <w:shd w:val="clear" w:color="auto" w:fill="FFFFFF"/>
        </w:rPr>
        <w:t>权重及权能修正系数的确定</w:t>
      </w:r>
    </w:p>
    <w:p w:rsidR="00F5516E" w:rsidRPr="00FC53F0" w:rsidRDefault="0071268E" w:rsidP="002021E2">
      <w:pPr>
        <w:spacing w:line="360" w:lineRule="auto"/>
        <w:ind w:firstLine="410"/>
        <w:rPr>
          <w:rFonts w:asciiTheme="minorEastAsia" w:eastAsiaTheme="minorEastAsia" w:hAnsiTheme="minorEastAsia"/>
          <w:sz w:val="21"/>
          <w:szCs w:val="21"/>
          <w:shd w:val="clear" w:color="auto" w:fill="FFFFFF"/>
        </w:rPr>
      </w:pPr>
      <w:bookmarkStart w:id="4" w:name="_Hlk47189112"/>
      <w:bookmarkEnd w:id="3"/>
      <w:r w:rsidRPr="00FC53F0">
        <w:rPr>
          <w:rFonts w:asciiTheme="minorEastAsia" w:eastAsiaTheme="minorEastAsia" w:hAnsiTheme="minorEastAsia"/>
          <w:sz w:val="21"/>
          <w:szCs w:val="21"/>
          <w:shd w:val="clear" w:color="auto" w:fill="FFFFFF"/>
        </w:rPr>
        <w:t>修正因素因子的权重不仅受用地类型的影响，而且还受研究区经济发展水平、区位条件、土地供求关系等各方面的影响。本文采用类比法来确定集体建设用地的权能修正系数以及各指标影响度，分地类进行修正。将国有建设用地的权能设定为100，分用途由</w:t>
      </w:r>
      <w:r w:rsidRPr="00FC53F0">
        <w:rPr>
          <w:rFonts w:asciiTheme="minorEastAsia" w:eastAsiaTheme="minorEastAsia" w:hAnsiTheme="minorEastAsia" w:hint="eastAsia"/>
          <w:sz w:val="21"/>
          <w:szCs w:val="21"/>
          <w:shd w:val="clear" w:color="auto" w:fill="FFFFFF"/>
        </w:rPr>
        <w:t>打分者</w:t>
      </w:r>
      <w:r w:rsidRPr="00FC53F0">
        <w:rPr>
          <w:rFonts w:asciiTheme="minorEastAsia" w:eastAsiaTheme="minorEastAsia" w:hAnsiTheme="minorEastAsia"/>
          <w:sz w:val="21"/>
          <w:szCs w:val="21"/>
          <w:shd w:val="clear" w:color="auto" w:fill="FFFFFF"/>
        </w:rPr>
        <w:t>按照因素体系，将100分至各个因子层，得到国有建设用地各个因子层的得分情况，通过对集体建设用地与国有建设用地间的差异性进行对比，得到集体建设用地各个因子层的得分，汇总得到集体建设用地目标层的得分值，分值与100相比，即可得到集体建设用地分用途修正系数值</w:t>
      </w:r>
      <w:r w:rsidRPr="00FC53F0">
        <w:rPr>
          <w:rFonts w:asciiTheme="minorEastAsia" w:eastAsiaTheme="minorEastAsia" w:hAnsiTheme="minorEastAsia"/>
          <w:sz w:val="21"/>
          <w:szCs w:val="21"/>
          <w:shd w:val="clear" w:color="auto" w:fill="FFFFFF"/>
          <w:vertAlign w:val="superscript"/>
        </w:rPr>
        <w:t>[22]</w:t>
      </w:r>
      <w:r w:rsidRPr="00FC53F0">
        <w:rPr>
          <w:rFonts w:asciiTheme="minorEastAsia" w:eastAsiaTheme="minorEastAsia" w:hAnsiTheme="minorEastAsia"/>
          <w:sz w:val="21"/>
          <w:szCs w:val="21"/>
          <w:shd w:val="clear" w:color="auto" w:fill="FFFFFF"/>
        </w:rPr>
        <w:t>。</w:t>
      </w:r>
    </w:p>
    <w:p w:rsidR="00F5516E" w:rsidRPr="00FC53F0" w:rsidRDefault="0071268E" w:rsidP="00026C6C">
      <w:pPr>
        <w:spacing w:after="240" w:line="360" w:lineRule="auto"/>
        <w:ind w:firstLine="410"/>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在权能修正系数的计算过程中，本文邀请了对当地较为熟悉的1</w:t>
      </w:r>
      <w:r w:rsidRPr="00FC53F0">
        <w:rPr>
          <w:rFonts w:asciiTheme="minorEastAsia" w:eastAsiaTheme="minorEastAsia" w:hAnsiTheme="minorEastAsia"/>
          <w:sz w:val="21"/>
          <w:szCs w:val="21"/>
          <w:shd w:val="clear" w:color="auto" w:fill="FFFFFF"/>
        </w:rPr>
        <w:t>2</w:t>
      </w:r>
      <w:r w:rsidR="003236B9" w:rsidRPr="00FC53F0">
        <w:rPr>
          <w:rFonts w:asciiTheme="minorEastAsia" w:eastAsiaTheme="minorEastAsia" w:hAnsiTheme="minorEastAsia" w:hint="eastAsia"/>
          <w:sz w:val="21"/>
          <w:szCs w:val="21"/>
          <w:shd w:val="clear" w:color="auto" w:fill="FFFFFF"/>
        </w:rPr>
        <w:t>位</w:t>
      </w:r>
      <w:r w:rsidRPr="00FC53F0">
        <w:rPr>
          <w:rFonts w:asciiTheme="minorEastAsia" w:eastAsiaTheme="minorEastAsia" w:hAnsiTheme="minorEastAsia" w:hint="eastAsia"/>
          <w:sz w:val="21"/>
          <w:szCs w:val="21"/>
          <w:shd w:val="clear" w:color="auto" w:fill="FFFFFF"/>
        </w:rPr>
        <w:t>专家进行打分，专家涵盖经济学、社会学、人文地理学以及管理学等领域，进行三轮打分</w:t>
      </w:r>
      <w:r w:rsidR="003236B9"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hint="eastAsia"/>
          <w:sz w:val="21"/>
          <w:szCs w:val="21"/>
          <w:shd w:val="clear" w:color="auto" w:fill="FFFFFF"/>
        </w:rPr>
        <w:t>另邀请了农民、企业开发商（农民2</w:t>
      </w:r>
      <w:r w:rsidRPr="00FC53F0">
        <w:rPr>
          <w:rFonts w:asciiTheme="minorEastAsia" w:eastAsiaTheme="minorEastAsia" w:hAnsiTheme="minorEastAsia"/>
          <w:sz w:val="21"/>
          <w:szCs w:val="21"/>
          <w:shd w:val="clear" w:color="auto" w:fill="FFFFFF"/>
        </w:rPr>
        <w:t>0</w:t>
      </w:r>
      <w:r w:rsidRPr="00FC53F0">
        <w:rPr>
          <w:rFonts w:asciiTheme="minorEastAsia" w:eastAsiaTheme="minorEastAsia" w:hAnsiTheme="minorEastAsia" w:hint="eastAsia"/>
          <w:sz w:val="21"/>
          <w:szCs w:val="21"/>
          <w:shd w:val="clear" w:color="auto" w:fill="FFFFFF"/>
        </w:rPr>
        <w:t>人，开发商1</w:t>
      </w:r>
      <w:r w:rsidRPr="00FC53F0">
        <w:rPr>
          <w:rFonts w:asciiTheme="minorEastAsia" w:eastAsiaTheme="minorEastAsia" w:hAnsiTheme="minorEastAsia"/>
          <w:sz w:val="21"/>
          <w:szCs w:val="21"/>
          <w:shd w:val="clear" w:color="auto" w:fill="FFFFFF"/>
        </w:rPr>
        <w:t>0</w:t>
      </w:r>
      <w:r w:rsidRPr="00FC53F0">
        <w:rPr>
          <w:rFonts w:asciiTheme="minorEastAsia" w:eastAsiaTheme="minorEastAsia" w:hAnsiTheme="minorEastAsia" w:hint="eastAsia"/>
          <w:sz w:val="21"/>
          <w:szCs w:val="21"/>
          <w:shd w:val="clear" w:color="auto" w:fill="FFFFFF"/>
        </w:rPr>
        <w:t>人）根据心理预期对国有建设用地与集体建设用地的差异</w:t>
      </w:r>
      <w:r w:rsidR="001F28DA" w:rsidRPr="00FC53F0">
        <w:rPr>
          <w:rFonts w:asciiTheme="minorEastAsia" w:eastAsiaTheme="minorEastAsia" w:hAnsiTheme="minorEastAsia" w:hint="eastAsia"/>
          <w:sz w:val="21"/>
          <w:szCs w:val="21"/>
          <w:shd w:val="clear" w:color="auto" w:fill="FFFFFF"/>
        </w:rPr>
        <w:t>性进行三轮打分，两者加权平均，得到集体建设用地权能修正系数，如</w:t>
      </w:r>
      <w:r w:rsidRPr="00FC53F0">
        <w:rPr>
          <w:rFonts w:asciiTheme="minorEastAsia" w:eastAsiaTheme="minorEastAsia" w:hAnsiTheme="minorEastAsia" w:hint="eastAsia"/>
          <w:sz w:val="21"/>
          <w:szCs w:val="21"/>
          <w:shd w:val="clear" w:color="auto" w:fill="FFFFFF"/>
        </w:rPr>
        <w:t>表2所示。</w:t>
      </w:r>
      <w:bookmarkEnd w:id="4"/>
    </w:p>
    <w:tbl>
      <w:tblPr>
        <w:tblStyle w:val="61"/>
        <w:tblW w:w="0" w:type="auto"/>
        <w:jc w:val="center"/>
        <w:tblLook w:val="04A0" w:firstRow="1" w:lastRow="0" w:firstColumn="1" w:lastColumn="0" w:noHBand="0" w:noVBand="1"/>
      </w:tblPr>
      <w:tblGrid>
        <w:gridCol w:w="1271"/>
        <w:gridCol w:w="1559"/>
        <w:gridCol w:w="1560"/>
        <w:gridCol w:w="850"/>
        <w:gridCol w:w="1134"/>
        <w:gridCol w:w="851"/>
        <w:gridCol w:w="1071"/>
      </w:tblGrid>
      <w:tr w:rsidR="00FC53F0" w:rsidRPr="00FC53F0" w:rsidTr="00F551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96" w:type="dxa"/>
            <w:gridSpan w:val="7"/>
            <w:tcBorders>
              <w:top w:val="nil"/>
              <w:bottom w:val="single" w:sz="8" w:space="0" w:color="auto"/>
            </w:tcBorders>
            <w:shd w:val="clear" w:color="auto" w:fill="auto"/>
            <w:vAlign w:val="center"/>
          </w:tcPr>
          <w:p w:rsidR="00F5516E" w:rsidRPr="00FC53F0" w:rsidRDefault="0071268E">
            <w:pPr>
              <w:snapToGrid w:val="0"/>
              <w:spacing w:line="288" w:lineRule="auto"/>
              <w:jc w:val="center"/>
              <w:rPr>
                <w:rFonts w:asciiTheme="minorEastAsia" w:eastAsiaTheme="minorEastAsia" w:hAnsiTheme="minorEastAsia"/>
                <w:color w:val="auto"/>
                <w:sz w:val="21"/>
                <w:szCs w:val="21"/>
                <w:shd w:val="clear" w:color="auto" w:fill="FFFFFF"/>
              </w:rPr>
            </w:pPr>
            <w:r w:rsidRPr="00FC53F0">
              <w:rPr>
                <w:rFonts w:asciiTheme="minorEastAsia" w:eastAsiaTheme="minorEastAsia" w:hAnsiTheme="minorEastAsia"/>
                <w:bCs w:val="0"/>
                <w:color w:val="auto"/>
                <w:sz w:val="21"/>
                <w:szCs w:val="21"/>
                <w:shd w:val="clear" w:color="auto" w:fill="FFFFFF"/>
              </w:rPr>
              <w:lastRenderedPageBreak/>
              <w:t>表</w:t>
            </w:r>
            <w:r w:rsidR="00026C6C" w:rsidRPr="00FC53F0">
              <w:rPr>
                <w:rFonts w:asciiTheme="minorEastAsia" w:eastAsiaTheme="minorEastAsia" w:hAnsiTheme="minorEastAsia"/>
                <w:bCs w:val="0"/>
                <w:color w:val="auto"/>
                <w:sz w:val="21"/>
                <w:szCs w:val="21"/>
                <w:shd w:val="clear" w:color="auto" w:fill="FFFFFF"/>
              </w:rPr>
              <w:t xml:space="preserve">2 </w:t>
            </w:r>
            <w:r w:rsidRPr="00FC53F0">
              <w:rPr>
                <w:rFonts w:asciiTheme="minorEastAsia" w:eastAsiaTheme="minorEastAsia" w:hAnsiTheme="minorEastAsia"/>
                <w:bCs w:val="0"/>
                <w:color w:val="auto"/>
                <w:sz w:val="21"/>
                <w:szCs w:val="21"/>
                <w:shd w:val="clear" w:color="auto" w:fill="FFFFFF"/>
              </w:rPr>
              <w:t>皋兰</w:t>
            </w:r>
            <w:proofErr w:type="gramStart"/>
            <w:r w:rsidRPr="00FC53F0">
              <w:rPr>
                <w:rFonts w:asciiTheme="minorEastAsia" w:eastAsiaTheme="minorEastAsia" w:hAnsiTheme="minorEastAsia"/>
                <w:bCs w:val="0"/>
                <w:color w:val="auto"/>
                <w:sz w:val="21"/>
                <w:szCs w:val="21"/>
                <w:shd w:val="clear" w:color="auto" w:fill="FFFFFF"/>
              </w:rPr>
              <w:t>县集体</w:t>
            </w:r>
            <w:proofErr w:type="gramEnd"/>
            <w:r w:rsidRPr="00FC53F0">
              <w:rPr>
                <w:rFonts w:asciiTheme="minorEastAsia" w:eastAsiaTheme="minorEastAsia" w:hAnsiTheme="minorEastAsia"/>
                <w:bCs w:val="0"/>
                <w:color w:val="auto"/>
                <w:sz w:val="21"/>
                <w:szCs w:val="21"/>
                <w:shd w:val="clear" w:color="auto" w:fill="FFFFFF"/>
              </w:rPr>
              <w:t>建设用地权能差异指标体系表</w:t>
            </w:r>
          </w:p>
        </w:tc>
      </w:tr>
      <w:tr w:rsidR="00FC53F0" w:rsidRPr="00FC53F0" w:rsidTr="00F5516E">
        <w:trPr>
          <w:jc w:val="center"/>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single" w:sz="8" w:space="0" w:color="auto"/>
              <w:bottom w:val="nil"/>
            </w:tcBorders>
            <w:shd w:val="clear" w:color="auto" w:fill="auto"/>
            <w:vAlign w:val="center"/>
          </w:tcPr>
          <w:p w:rsidR="00F5516E" w:rsidRPr="00FC53F0" w:rsidRDefault="0071268E">
            <w:pPr>
              <w:snapToGrid w:val="0"/>
              <w:spacing w:line="288" w:lineRule="auto"/>
              <w:jc w:val="center"/>
              <w:rPr>
                <w:rFonts w:ascii="Times New Roman" w:hAnsi="Times New Roman"/>
                <w:color w:val="auto"/>
                <w:sz w:val="15"/>
                <w:szCs w:val="15"/>
                <w:shd w:val="clear" w:color="auto" w:fill="FFFFFF"/>
              </w:rPr>
            </w:pPr>
            <w:r w:rsidRPr="00FC53F0">
              <w:rPr>
                <w:rFonts w:ascii="Times New Roman" w:hAnsi="Times New Roman"/>
                <w:b w:val="0"/>
                <w:bCs w:val="0"/>
                <w:color w:val="auto"/>
                <w:sz w:val="15"/>
                <w:szCs w:val="15"/>
                <w:shd w:val="clear" w:color="auto" w:fill="FFFFFF"/>
              </w:rPr>
              <w:t>差异原因</w:t>
            </w:r>
          </w:p>
        </w:tc>
        <w:tc>
          <w:tcPr>
            <w:tcW w:w="1559" w:type="dxa"/>
            <w:vMerge w:val="restart"/>
            <w:tcBorders>
              <w:top w:val="single" w:sz="8"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因素</w:t>
            </w:r>
          </w:p>
        </w:tc>
        <w:tc>
          <w:tcPr>
            <w:tcW w:w="1560" w:type="dxa"/>
            <w:vMerge w:val="restart"/>
            <w:tcBorders>
              <w:top w:val="single" w:sz="8"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因子</w:t>
            </w:r>
          </w:p>
        </w:tc>
        <w:tc>
          <w:tcPr>
            <w:tcW w:w="3906" w:type="dxa"/>
            <w:gridSpan w:val="4"/>
            <w:tcBorders>
              <w:top w:val="single" w:sz="8"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因子分值</w:t>
            </w:r>
          </w:p>
        </w:tc>
      </w:tr>
      <w:tr w:rsidR="00FC53F0" w:rsidRPr="00FC53F0" w:rsidTr="00F5516E">
        <w:trPr>
          <w:jc w:val="center"/>
        </w:trPr>
        <w:tc>
          <w:tcPr>
            <w:cnfStyle w:val="001000000000" w:firstRow="0" w:lastRow="0" w:firstColumn="1" w:lastColumn="0" w:oddVBand="0" w:evenVBand="0" w:oddHBand="0" w:evenHBand="0" w:firstRowFirstColumn="0" w:firstRowLastColumn="0" w:lastRowFirstColumn="0" w:lastRowLastColumn="0"/>
            <w:tcW w:w="1271" w:type="dxa"/>
            <w:vMerge/>
            <w:tcBorders>
              <w:top w:val="nil"/>
              <w:bottom w:val="nil"/>
            </w:tcBorders>
            <w:shd w:val="clear" w:color="auto" w:fill="auto"/>
            <w:vAlign w:val="center"/>
          </w:tcPr>
          <w:p w:rsidR="00F5516E" w:rsidRPr="00FC53F0" w:rsidRDefault="00F5516E">
            <w:pPr>
              <w:snapToGrid w:val="0"/>
              <w:spacing w:line="288" w:lineRule="auto"/>
              <w:jc w:val="center"/>
              <w:rPr>
                <w:rFonts w:ascii="Times New Roman" w:hAnsi="Times New Roman"/>
                <w:b w:val="0"/>
                <w:bCs w:val="0"/>
                <w:color w:val="auto"/>
                <w:sz w:val="15"/>
                <w:szCs w:val="15"/>
                <w:shd w:val="clear" w:color="auto" w:fill="FFFFFF"/>
              </w:rPr>
            </w:pPr>
          </w:p>
        </w:tc>
        <w:tc>
          <w:tcPr>
            <w:tcW w:w="1559" w:type="dxa"/>
            <w:vMerge/>
            <w:tcBorders>
              <w:top w:val="nil"/>
              <w:bottom w:val="nil"/>
            </w:tcBorders>
            <w:shd w:val="clear" w:color="auto" w:fill="auto"/>
            <w:vAlign w:val="center"/>
          </w:tcPr>
          <w:p w:rsidR="00F5516E" w:rsidRPr="00FC53F0" w:rsidRDefault="00F5516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p>
        </w:tc>
        <w:tc>
          <w:tcPr>
            <w:tcW w:w="1560" w:type="dxa"/>
            <w:vMerge/>
            <w:tcBorders>
              <w:top w:val="nil"/>
              <w:bottom w:val="nil"/>
            </w:tcBorders>
            <w:shd w:val="clear" w:color="auto" w:fill="auto"/>
            <w:vAlign w:val="center"/>
          </w:tcPr>
          <w:p w:rsidR="00F5516E" w:rsidRPr="00FC53F0" w:rsidRDefault="00F5516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p>
        </w:tc>
        <w:tc>
          <w:tcPr>
            <w:tcW w:w="1984" w:type="dxa"/>
            <w:gridSpan w:val="2"/>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国有建设用地</w:t>
            </w:r>
          </w:p>
        </w:tc>
        <w:tc>
          <w:tcPr>
            <w:tcW w:w="1922" w:type="dxa"/>
            <w:gridSpan w:val="2"/>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集体建设用地</w:t>
            </w:r>
          </w:p>
        </w:tc>
      </w:tr>
      <w:tr w:rsidR="00FC53F0" w:rsidRPr="00FC53F0" w:rsidTr="00F5516E">
        <w:trPr>
          <w:jc w:val="center"/>
        </w:trPr>
        <w:tc>
          <w:tcPr>
            <w:cnfStyle w:val="001000000000" w:firstRow="0" w:lastRow="0" w:firstColumn="1" w:lastColumn="0" w:oddVBand="0" w:evenVBand="0" w:oddHBand="0" w:evenHBand="0" w:firstRowFirstColumn="0" w:firstRowLastColumn="0" w:lastRowFirstColumn="0" w:lastRowLastColumn="0"/>
            <w:tcW w:w="1271" w:type="dxa"/>
            <w:vMerge/>
            <w:tcBorders>
              <w:top w:val="nil"/>
              <w:bottom w:val="single" w:sz="6" w:space="0" w:color="auto"/>
            </w:tcBorders>
            <w:shd w:val="clear" w:color="auto" w:fill="auto"/>
            <w:vAlign w:val="center"/>
          </w:tcPr>
          <w:p w:rsidR="00F5516E" w:rsidRPr="00FC53F0" w:rsidRDefault="00F5516E">
            <w:pPr>
              <w:snapToGrid w:val="0"/>
              <w:spacing w:line="288" w:lineRule="auto"/>
              <w:jc w:val="center"/>
              <w:rPr>
                <w:rFonts w:ascii="Times New Roman" w:hAnsi="Times New Roman"/>
                <w:b w:val="0"/>
                <w:bCs w:val="0"/>
                <w:color w:val="auto"/>
                <w:sz w:val="15"/>
                <w:szCs w:val="15"/>
                <w:shd w:val="clear" w:color="auto" w:fill="FFFFFF"/>
              </w:rPr>
            </w:pPr>
          </w:p>
        </w:tc>
        <w:tc>
          <w:tcPr>
            <w:tcW w:w="1559" w:type="dxa"/>
            <w:vMerge/>
            <w:tcBorders>
              <w:top w:val="nil"/>
              <w:bottom w:val="single" w:sz="6" w:space="0" w:color="auto"/>
            </w:tcBorders>
            <w:shd w:val="clear" w:color="auto" w:fill="auto"/>
            <w:vAlign w:val="center"/>
          </w:tcPr>
          <w:p w:rsidR="00F5516E" w:rsidRPr="00FC53F0" w:rsidRDefault="00F5516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p>
        </w:tc>
        <w:tc>
          <w:tcPr>
            <w:tcW w:w="1560" w:type="dxa"/>
            <w:vMerge/>
            <w:tcBorders>
              <w:top w:val="nil"/>
              <w:bottom w:val="single" w:sz="6" w:space="0" w:color="auto"/>
            </w:tcBorders>
            <w:shd w:val="clear" w:color="auto" w:fill="auto"/>
            <w:vAlign w:val="center"/>
          </w:tcPr>
          <w:p w:rsidR="00F5516E" w:rsidRPr="00FC53F0" w:rsidRDefault="00F5516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p>
        </w:tc>
        <w:tc>
          <w:tcPr>
            <w:tcW w:w="850"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工矿仓储用地</w:t>
            </w:r>
          </w:p>
        </w:tc>
        <w:tc>
          <w:tcPr>
            <w:tcW w:w="1134"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商服用地</w:t>
            </w:r>
          </w:p>
        </w:tc>
        <w:tc>
          <w:tcPr>
            <w:tcW w:w="851" w:type="dxa"/>
            <w:tcBorders>
              <w:top w:val="nil"/>
              <w:bottom w:val="single" w:sz="6" w:space="0" w:color="auto"/>
            </w:tcBorders>
            <w:shd w:val="clear" w:color="auto" w:fill="auto"/>
            <w:vAlign w:val="center"/>
          </w:tcPr>
          <w:p w:rsidR="00F5516E" w:rsidRPr="00FC53F0" w:rsidRDefault="0071268E">
            <w:pPr>
              <w:snapToGrid w:val="0"/>
              <w:spacing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工矿仓</w:t>
            </w:r>
          </w:p>
          <w:p w:rsidR="00F5516E" w:rsidRPr="00FC53F0" w:rsidRDefault="0071268E">
            <w:pPr>
              <w:snapToGrid w:val="0"/>
              <w:spacing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储用地</w:t>
            </w:r>
          </w:p>
        </w:tc>
        <w:tc>
          <w:tcPr>
            <w:tcW w:w="1071"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商服用地</w:t>
            </w:r>
          </w:p>
        </w:tc>
      </w:tr>
      <w:tr w:rsidR="00FC53F0" w:rsidRPr="00FC53F0" w:rsidTr="00F5516E">
        <w:trPr>
          <w:jc w:val="center"/>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single" w:sz="6" w:space="0" w:color="auto"/>
              <w:bottom w:val="nil"/>
            </w:tcBorders>
            <w:shd w:val="clear" w:color="auto" w:fill="auto"/>
            <w:vAlign w:val="center"/>
          </w:tcPr>
          <w:p w:rsidR="00F5516E" w:rsidRPr="00FC53F0" w:rsidRDefault="0071268E">
            <w:pPr>
              <w:snapToGrid w:val="0"/>
              <w:spacing w:line="288" w:lineRule="auto"/>
              <w:jc w:val="center"/>
              <w:rPr>
                <w:rFonts w:ascii="Times New Roman" w:hAnsi="Times New Roman"/>
                <w:color w:val="auto"/>
                <w:sz w:val="15"/>
                <w:szCs w:val="15"/>
                <w:shd w:val="clear" w:color="auto" w:fill="FFFFFF"/>
              </w:rPr>
            </w:pPr>
            <w:r w:rsidRPr="00FC53F0">
              <w:rPr>
                <w:rFonts w:ascii="Times New Roman" w:hAnsi="Times New Roman"/>
                <w:b w:val="0"/>
                <w:bCs w:val="0"/>
                <w:color w:val="auto"/>
                <w:sz w:val="15"/>
                <w:szCs w:val="15"/>
                <w:shd w:val="clear" w:color="auto" w:fill="FFFFFF"/>
              </w:rPr>
              <w:t>权利完整性</w:t>
            </w:r>
          </w:p>
        </w:tc>
        <w:tc>
          <w:tcPr>
            <w:tcW w:w="1559" w:type="dxa"/>
            <w:vMerge w:val="restart"/>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产权明晰度</w:t>
            </w:r>
          </w:p>
        </w:tc>
        <w:tc>
          <w:tcPr>
            <w:tcW w:w="1560" w:type="dxa"/>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出租权</w:t>
            </w:r>
          </w:p>
        </w:tc>
        <w:tc>
          <w:tcPr>
            <w:tcW w:w="850" w:type="dxa"/>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13.25</w:t>
            </w:r>
          </w:p>
        </w:tc>
        <w:tc>
          <w:tcPr>
            <w:tcW w:w="1134" w:type="dxa"/>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13.28</w:t>
            </w:r>
          </w:p>
        </w:tc>
        <w:tc>
          <w:tcPr>
            <w:tcW w:w="851" w:type="dxa"/>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10.2</w:t>
            </w:r>
          </w:p>
        </w:tc>
        <w:tc>
          <w:tcPr>
            <w:tcW w:w="1071" w:type="dxa"/>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11.7</w:t>
            </w:r>
          </w:p>
        </w:tc>
      </w:tr>
      <w:tr w:rsidR="00FC53F0" w:rsidRPr="00FC53F0" w:rsidTr="00F5516E">
        <w:trPr>
          <w:jc w:val="center"/>
        </w:trPr>
        <w:tc>
          <w:tcPr>
            <w:cnfStyle w:val="001000000000" w:firstRow="0" w:lastRow="0" w:firstColumn="1" w:lastColumn="0" w:oddVBand="0" w:evenVBand="0" w:oddHBand="0" w:evenHBand="0" w:firstRowFirstColumn="0" w:firstRowLastColumn="0" w:lastRowFirstColumn="0" w:lastRowLastColumn="0"/>
            <w:tcW w:w="1271" w:type="dxa"/>
            <w:vMerge/>
            <w:tcBorders>
              <w:top w:val="nil"/>
              <w:bottom w:val="nil"/>
            </w:tcBorders>
            <w:shd w:val="clear" w:color="auto" w:fill="auto"/>
            <w:vAlign w:val="center"/>
          </w:tcPr>
          <w:p w:rsidR="00F5516E" w:rsidRPr="00FC53F0" w:rsidRDefault="00F5516E">
            <w:pPr>
              <w:snapToGrid w:val="0"/>
              <w:spacing w:line="288" w:lineRule="auto"/>
              <w:jc w:val="center"/>
              <w:rPr>
                <w:rFonts w:ascii="Times New Roman" w:hAnsi="Times New Roman"/>
                <w:b w:val="0"/>
                <w:bCs w:val="0"/>
                <w:color w:val="auto"/>
                <w:sz w:val="15"/>
                <w:szCs w:val="15"/>
                <w:shd w:val="clear" w:color="auto" w:fill="FFFFFF"/>
              </w:rPr>
            </w:pPr>
          </w:p>
        </w:tc>
        <w:tc>
          <w:tcPr>
            <w:tcW w:w="1559" w:type="dxa"/>
            <w:vMerge/>
            <w:tcBorders>
              <w:top w:val="nil"/>
              <w:bottom w:val="nil"/>
            </w:tcBorders>
            <w:shd w:val="clear" w:color="auto" w:fill="auto"/>
            <w:vAlign w:val="center"/>
          </w:tcPr>
          <w:p w:rsidR="00F5516E" w:rsidRPr="00FC53F0" w:rsidRDefault="00F5516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p>
        </w:tc>
        <w:tc>
          <w:tcPr>
            <w:tcW w:w="156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转让权</w:t>
            </w:r>
          </w:p>
        </w:tc>
        <w:tc>
          <w:tcPr>
            <w:tcW w:w="85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12.25</w:t>
            </w:r>
          </w:p>
        </w:tc>
        <w:tc>
          <w:tcPr>
            <w:tcW w:w="1134"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12.43</w:t>
            </w:r>
          </w:p>
        </w:tc>
        <w:tc>
          <w:tcPr>
            <w:tcW w:w="85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9.69</w:t>
            </w:r>
          </w:p>
        </w:tc>
        <w:tc>
          <w:tcPr>
            <w:tcW w:w="107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10.71</w:t>
            </w:r>
          </w:p>
        </w:tc>
      </w:tr>
      <w:tr w:rsidR="00FC53F0" w:rsidRPr="00FC53F0" w:rsidTr="00F5516E">
        <w:trPr>
          <w:jc w:val="center"/>
        </w:trPr>
        <w:tc>
          <w:tcPr>
            <w:cnfStyle w:val="001000000000" w:firstRow="0" w:lastRow="0" w:firstColumn="1" w:lastColumn="0" w:oddVBand="0" w:evenVBand="0" w:oddHBand="0" w:evenHBand="0" w:firstRowFirstColumn="0" w:firstRowLastColumn="0" w:lastRowFirstColumn="0" w:lastRowLastColumn="0"/>
            <w:tcW w:w="1271" w:type="dxa"/>
            <w:vMerge/>
            <w:tcBorders>
              <w:top w:val="nil"/>
              <w:bottom w:val="nil"/>
            </w:tcBorders>
            <w:shd w:val="clear" w:color="auto" w:fill="auto"/>
            <w:vAlign w:val="center"/>
          </w:tcPr>
          <w:p w:rsidR="00F5516E" w:rsidRPr="00FC53F0" w:rsidRDefault="00F5516E">
            <w:pPr>
              <w:snapToGrid w:val="0"/>
              <w:spacing w:line="288" w:lineRule="auto"/>
              <w:jc w:val="center"/>
              <w:rPr>
                <w:rFonts w:ascii="Times New Roman" w:hAnsi="Times New Roman"/>
                <w:b w:val="0"/>
                <w:bCs w:val="0"/>
                <w:color w:val="auto"/>
                <w:sz w:val="15"/>
                <w:szCs w:val="15"/>
                <w:shd w:val="clear" w:color="auto" w:fill="FFFFFF"/>
              </w:rPr>
            </w:pPr>
          </w:p>
        </w:tc>
        <w:tc>
          <w:tcPr>
            <w:tcW w:w="1559" w:type="dxa"/>
            <w:vMerge/>
            <w:tcBorders>
              <w:top w:val="nil"/>
              <w:bottom w:val="nil"/>
            </w:tcBorders>
            <w:shd w:val="clear" w:color="auto" w:fill="auto"/>
            <w:vAlign w:val="center"/>
          </w:tcPr>
          <w:p w:rsidR="00F5516E" w:rsidRPr="00FC53F0" w:rsidRDefault="00F5516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p>
        </w:tc>
        <w:tc>
          <w:tcPr>
            <w:tcW w:w="156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抵押权</w:t>
            </w:r>
          </w:p>
        </w:tc>
        <w:tc>
          <w:tcPr>
            <w:tcW w:w="85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10</w:t>
            </w:r>
          </w:p>
        </w:tc>
        <w:tc>
          <w:tcPr>
            <w:tcW w:w="1134"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11</w:t>
            </w:r>
          </w:p>
        </w:tc>
        <w:tc>
          <w:tcPr>
            <w:tcW w:w="85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8.58</w:t>
            </w:r>
          </w:p>
        </w:tc>
        <w:tc>
          <w:tcPr>
            <w:tcW w:w="107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8.71</w:t>
            </w:r>
          </w:p>
        </w:tc>
      </w:tr>
      <w:tr w:rsidR="00FC53F0" w:rsidRPr="00FC53F0" w:rsidTr="00F5516E">
        <w:trPr>
          <w:jc w:val="center"/>
        </w:trPr>
        <w:tc>
          <w:tcPr>
            <w:cnfStyle w:val="001000000000" w:firstRow="0" w:lastRow="0" w:firstColumn="1" w:lastColumn="0" w:oddVBand="0" w:evenVBand="0" w:oddHBand="0" w:evenHBand="0" w:firstRowFirstColumn="0" w:firstRowLastColumn="0" w:lastRowFirstColumn="0" w:lastRowLastColumn="0"/>
            <w:tcW w:w="1271" w:type="dxa"/>
            <w:vMerge/>
            <w:tcBorders>
              <w:top w:val="nil"/>
              <w:bottom w:val="nil"/>
            </w:tcBorders>
            <w:shd w:val="clear" w:color="auto" w:fill="auto"/>
            <w:vAlign w:val="center"/>
          </w:tcPr>
          <w:p w:rsidR="00F5516E" w:rsidRPr="00FC53F0" w:rsidRDefault="00F5516E">
            <w:pPr>
              <w:snapToGrid w:val="0"/>
              <w:spacing w:line="288" w:lineRule="auto"/>
              <w:jc w:val="center"/>
              <w:rPr>
                <w:rFonts w:ascii="Times New Roman" w:hAnsi="Times New Roman"/>
                <w:b w:val="0"/>
                <w:bCs w:val="0"/>
                <w:color w:val="auto"/>
                <w:sz w:val="15"/>
                <w:szCs w:val="15"/>
                <w:shd w:val="clear" w:color="auto" w:fill="FFFFFF"/>
              </w:rPr>
            </w:pPr>
          </w:p>
        </w:tc>
        <w:tc>
          <w:tcPr>
            <w:tcW w:w="1559" w:type="dxa"/>
            <w:vMerge w:val="restart"/>
            <w:tcBorders>
              <w:top w:val="nil"/>
              <w:bottom w:val="nil"/>
            </w:tcBorders>
            <w:shd w:val="clear" w:color="auto" w:fill="auto"/>
            <w:vAlign w:val="center"/>
          </w:tcPr>
          <w:p w:rsidR="00F5516E" w:rsidRPr="00FC53F0" w:rsidRDefault="0071268E">
            <w:pPr>
              <w:snapToGrid w:val="0"/>
              <w:spacing w:line="288" w:lineRule="auto"/>
              <w:ind w:firstLineChars="200" w:firstLine="30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权益保障性</w:t>
            </w:r>
          </w:p>
        </w:tc>
        <w:tc>
          <w:tcPr>
            <w:tcW w:w="156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使用权证书</w:t>
            </w:r>
          </w:p>
        </w:tc>
        <w:tc>
          <w:tcPr>
            <w:tcW w:w="85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9</w:t>
            </w:r>
          </w:p>
        </w:tc>
        <w:tc>
          <w:tcPr>
            <w:tcW w:w="1134"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8</w:t>
            </w:r>
          </w:p>
        </w:tc>
        <w:tc>
          <w:tcPr>
            <w:tcW w:w="85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5</w:t>
            </w:r>
          </w:p>
        </w:tc>
        <w:tc>
          <w:tcPr>
            <w:tcW w:w="107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6</w:t>
            </w:r>
          </w:p>
        </w:tc>
      </w:tr>
      <w:tr w:rsidR="00FC53F0" w:rsidRPr="00FC53F0" w:rsidTr="00F5516E">
        <w:trPr>
          <w:jc w:val="center"/>
        </w:trPr>
        <w:tc>
          <w:tcPr>
            <w:cnfStyle w:val="001000000000" w:firstRow="0" w:lastRow="0" w:firstColumn="1" w:lastColumn="0" w:oddVBand="0" w:evenVBand="0" w:oddHBand="0" w:evenHBand="0" w:firstRowFirstColumn="0" w:firstRowLastColumn="0" w:lastRowFirstColumn="0" w:lastRowLastColumn="0"/>
            <w:tcW w:w="1271" w:type="dxa"/>
            <w:vMerge/>
            <w:tcBorders>
              <w:top w:val="nil"/>
              <w:bottom w:val="nil"/>
            </w:tcBorders>
            <w:shd w:val="clear" w:color="auto" w:fill="auto"/>
            <w:vAlign w:val="center"/>
          </w:tcPr>
          <w:p w:rsidR="00F5516E" w:rsidRPr="00FC53F0" w:rsidRDefault="00F5516E">
            <w:pPr>
              <w:snapToGrid w:val="0"/>
              <w:spacing w:line="288" w:lineRule="auto"/>
              <w:jc w:val="center"/>
              <w:rPr>
                <w:rFonts w:ascii="Times New Roman" w:hAnsi="Times New Roman"/>
                <w:b w:val="0"/>
                <w:bCs w:val="0"/>
                <w:color w:val="auto"/>
                <w:sz w:val="15"/>
                <w:szCs w:val="15"/>
                <w:shd w:val="clear" w:color="auto" w:fill="FFFFFF"/>
              </w:rPr>
            </w:pPr>
          </w:p>
        </w:tc>
        <w:tc>
          <w:tcPr>
            <w:tcW w:w="1559" w:type="dxa"/>
            <w:vMerge/>
            <w:tcBorders>
              <w:top w:val="nil"/>
              <w:bottom w:val="nil"/>
            </w:tcBorders>
            <w:shd w:val="clear" w:color="auto" w:fill="auto"/>
            <w:vAlign w:val="center"/>
          </w:tcPr>
          <w:p w:rsidR="00F5516E" w:rsidRPr="00FC53F0" w:rsidRDefault="00F5516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p>
        </w:tc>
        <w:tc>
          <w:tcPr>
            <w:tcW w:w="156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使用权登记</w:t>
            </w:r>
          </w:p>
        </w:tc>
        <w:tc>
          <w:tcPr>
            <w:tcW w:w="85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8.21</w:t>
            </w:r>
          </w:p>
        </w:tc>
        <w:tc>
          <w:tcPr>
            <w:tcW w:w="1134"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7.43</w:t>
            </w:r>
          </w:p>
        </w:tc>
        <w:tc>
          <w:tcPr>
            <w:tcW w:w="85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5.03</w:t>
            </w:r>
          </w:p>
        </w:tc>
        <w:tc>
          <w:tcPr>
            <w:tcW w:w="107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5.86</w:t>
            </w:r>
          </w:p>
        </w:tc>
      </w:tr>
      <w:tr w:rsidR="00FC53F0" w:rsidRPr="00FC53F0" w:rsidTr="00F5516E">
        <w:trPr>
          <w:jc w:val="center"/>
        </w:trPr>
        <w:tc>
          <w:tcPr>
            <w:cnfStyle w:val="001000000000" w:firstRow="0" w:lastRow="0" w:firstColumn="1" w:lastColumn="0" w:oddVBand="0" w:evenVBand="0" w:oddHBand="0" w:evenHBand="0" w:firstRowFirstColumn="0" w:firstRowLastColumn="0" w:lastRowFirstColumn="0" w:lastRowLastColumn="0"/>
            <w:tcW w:w="1271" w:type="dxa"/>
            <w:vMerge/>
            <w:tcBorders>
              <w:top w:val="nil"/>
              <w:bottom w:val="single" w:sz="6" w:space="0" w:color="auto"/>
            </w:tcBorders>
            <w:shd w:val="clear" w:color="auto" w:fill="auto"/>
            <w:vAlign w:val="center"/>
          </w:tcPr>
          <w:p w:rsidR="00F5516E" w:rsidRPr="00FC53F0" w:rsidRDefault="00F5516E">
            <w:pPr>
              <w:snapToGrid w:val="0"/>
              <w:spacing w:line="288" w:lineRule="auto"/>
              <w:jc w:val="center"/>
              <w:rPr>
                <w:rFonts w:ascii="Times New Roman" w:hAnsi="Times New Roman"/>
                <w:b w:val="0"/>
                <w:bCs w:val="0"/>
                <w:color w:val="auto"/>
                <w:sz w:val="15"/>
                <w:szCs w:val="15"/>
                <w:shd w:val="clear" w:color="auto" w:fill="FFFFFF"/>
              </w:rPr>
            </w:pPr>
          </w:p>
        </w:tc>
        <w:tc>
          <w:tcPr>
            <w:tcW w:w="1559" w:type="dxa"/>
            <w:vMerge/>
            <w:tcBorders>
              <w:top w:val="nil"/>
              <w:bottom w:val="single" w:sz="6" w:space="0" w:color="auto"/>
            </w:tcBorders>
            <w:shd w:val="clear" w:color="auto" w:fill="auto"/>
            <w:vAlign w:val="center"/>
          </w:tcPr>
          <w:p w:rsidR="00F5516E" w:rsidRPr="00FC53F0" w:rsidRDefault="00F5516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p>
        </w:tc>
        <w:tc>
          <w:tcPr>
            <w:tcW w:w="1560"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信息公开制度</w:t>
            </w:r>
          </w:p>
        </w:tc>
        <w:tc>
          <w:tcPr>
            <w:tcW w:w="850"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6.15</w:t>
            </w:r>
          </w:p>
        </w:tc>
        <w:tc>
          <w:tcPr>
            <w:tcW w:w="1134"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6.14</w:t>
            </w:r>
          </w:p>
        </w:tc>
        <w:tc>
          <w:tcPr>
            <w:tcW w:w="851"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4.3</w:t>
            </w:r>
          </w:p>
        </w:tc>
        <w:tc>
          <w:tcPr>
            <w:tcW w:w="1071"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5.5</w:t>
            </w:r>
          </w:p>
        </w:tc>
      </w:tr>
      <w:tr w:rsidR="00FC53F0" w:rsidRPr="00FC53F0" w:rsidTr="00F5516E">
        <w:trPr>
          <w:trHeight w:val="353"/>
          <w:jc w:val="center"/>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single" w:sz="6" w:space="0" w:color="auto"/>
              <w:bottom w:val="nil"/>
            </w:tcBorders>
            <w:shd w:val="clear" w:color="auto" w:fill="auto"/>
            <w:vAlign w:val="center"/>
          </w:tcPr>
          <w:p w:rsidR="00F5516E" w:rsidRPr="00FC53F0" w:rsidRDefault="0071268E">
            <w:pPr>
              <w:snapToGrid w:val="0"/>
              <w:spacing w:line="288" w:lineRule="auto"/>
              <w:jc w:val="center"/>
              <w:rPr>
                <w:rFonts w:ascii="Times New Roman" w:hAnsi="Times New Roman"/>
                <w:color w:val="auto"/>
                <w:sz w:val="15"/>
                <w:szCs w:val="15"/>
                <w:shd w:val="clear" w:color="auto" w:fill="FFFFFF"/>
              </w:rPr>
            </w:pPr>
            <w:r w:rsidRPr="00FC53F0">
              <w:rPr>
                <w:rFonts w:ascii="Times New Roman" w:hAnsi="Times New Roman"/>
                <w:b w:val="0"/>
                <w:bCs w:val="0"/>
                <w:color w:val="auto"/>
                <w:sz w:val="15"/>
                <w:szCs w:val="15"/>
                <w:shd w:val="clear" w:color="auto" w:fill="FFFFFF"/>
              </w:rPr>
              <w:t>交易完善性</w:t>
            </w:r>
          </w:p>
        </w:tc>
        <w:tc>
          <w:tcPr>
            <w:tcW w:w="1559" w:type="dxa"/>
            <w:vMerge w:val="restart"/>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市场流转度</w:t>
            </w:r>
          </w:p>
        </w:tc>
        <w:tc>
          <w:tcPr>
            <w:tcW w:w="1560" w:type="dxa"/>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流转多样性</w:t>
            </w:r>
          </w:p>
        </w:tc>
        <w:tc>
          <w:tcPr>
            <w:tcW w:w="850" w:type="dxa"/>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7.2</w:t>
            </w:r>
          </w:p>
        </w:tc>
        <w:tc>
          <w:tcPr>
            <w:tcW w:w="1134" w:type="dxa"/>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8.29</w:t>
            </w:r>
          </w:p>
        </w:tc>
        <w:tc>
          <w:tcPr>
            <w:tcW w:w="851" w:type="dxa"/>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5.36</w:t>
            </w:r>
          </w:p>
        </w:tc>
        <w:tc>
          <w:tcPr>
            <w:tcW w:w="1071" w:type="dxa"/>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6.04</w:t>
            </w:r>
          </w:p>
        </w:tc>
      </w:tr>
      <w:tr w:rsidR="00FC53F0" w:rsidRPr="00FC53F0" w:rsidTr="00F5516E">
        <w:trPr>
          <w:trHeight w:val="505"/>
          <w:jc w:val="center"/>
        </w:trPr>
        <w:tc>
          <w:tcPr>
            <w:cnfStyle w:val="001000000000" w:firstRow="0" w:lastRow="0" w:firstColumn="1" w:lastColumn="0" w:oddVBand="0" w:evenVBand="0" w:oddHBand="0" w:evenHBand="0" w:firstRowFirstColumn="0" w:firstRowLastColumn="0" w:lastRowFirstColumn="0" w:lastRowLastColumn="0"/>
            <w:tcW w:w="1271" w:type="dxa"/>
            <w:vMerge/>
            <w:tcBorders>
              <w:top w:val="nil"/>
              <w:bottom w:val="nil"/>
            </w:tcBorders>
            <w:shd w:val="clear" w:color="auto" w:fill="auto"/>
            <w:vAlign w:val="center"/>
          </w:tcPr>
          <w:p w:rsidR="00F5516E" w:rsidRPr="00FC53F0" w:rsidRDefault="00F5516E">
            <w:pPr>
              <w:snapToGrid w:val="0"/>
              <w:spacing w:line="288" w:lineRule="auto"/>
              <w:jc w:val="center"/>
              <w:rPr>
                <w:rFonts w:ascii="Times New Roman" w:hAnsi="Times New Roman"/>
                <w:b w:val="0"/>
                <w:bCs w:val="0"/>
                <w:color w:val="auto"/>
                <w:sz w:val="15"/>
                <w:szCs w:val="15"/>
                <w:shd w:val="clear" w:color="auto" w:fill="FFFFFF"/>
              </w:rPr>
            </w:pPr>
          </w:p>
        </w:tc>
        <w:tc>
          <w:tcPr>
            <w:tcW w:w="1559" w:type="dxa"/>
            <w:vMerge/>
            <w:tcBorders>
              <w:top w:val="nil"/>
              <w:bottom w:val="nil"/>
            </w:tcBorders>
            <w:shd w:val="clear" w:color="auto" w:fill="auto"/>
            <w:vAlign w:val="center"/>
          </w:tcPr>
          <w:p w:rsidR="00F5516E" w:rsidRPr="00FC53F0" w:rsidRDefault="00F5516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p>
        </w:tc>
        <w:tc>
          <w:tcPr>
            <w:tcW w:w="156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用途限制性</w:t>
            </w:r>
          </w:p>
        </w:tc>
        <w:tc>
          <w:tcPr>
            <w:tcW w:w="85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7.6</w:t>
            </w:r>
          </w:p>
        </w:tc>
        <w:tc>
          <w:tcPr>
            <w:tcW w:w="1134"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6.86</w:t>
            </w:r>
          </w:p>
        </w:tc>
        <w:tc>
          <w:tcPr>
            <w:tcW w:w="85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6.1</w:t>
            </w:r>
          </w:p>
        </w:tc>
        <w:tc>
          <w:tcPr>
            <w:tcW w:w="107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5.9</w:t>
            </w:r>
          </w:p>
        </w:tc>
      </w:tr>
      <w:tr w:rsidR="00FC53F0" w:rsidRPr="00FC53F0" w:rsidTr="00F5516E">
        <w:trPr>
          <w:trHeight w:val="562"/>
          <w:jc w:val="center"/>
        </w:trPr>
        <w:tc>
          <w:tcPr>
            <w:cnfStyle w:val="001000000000" w:firstRow="0" w:lastRow="0" w:firstColumn="1" w:lastColumn="0" w:oddVBand="0" w:evenVBand="0" w:oddHBand="0" w:evenHBand="0" w:firstRowFirstColumn="0" w:firstRowLastColumn="0" w:lastRowFirstColumn="0" w:lastRowLastColumn="0"/>
            <w:tcW w:w="1271" w:type="dxa"/>
            <w:vMerge/>
            <w:tcBorders>
              <w:top w:val="nil"/>
              <w:bottom w:val="single" w:sz="6" w:space="0" w:color="auto"/>
            </w:tcBorders>
            <w:shd w:val="clear" w:color="auto" w:fill="auto"/>
            <w:vAlign w:val="center"/>
          </w:tcPr>
          <w:p w:rsidR="00F5516E" w:rsidRPr="00FC53F0" w:rsidRDefault="00F5516E">
            <w:pPr>
              <w:snapToGrid w:val="0"/>
              <w:spacing w:line="288" w:lineRule="auto"/>
              <w:jc w:val="center"/>
              <w:rPr>
                <w:rFonts w:ascii="Times New Roman" w:hAnsi="Times New Roman"/>
                <w:b w:val="0"/>
                <w:bCs w:val="0"/>
                <w:color w:val="auto"/>
                <w:sz w:val="15"/>
                <w:szCs w:val="15"/>
                <w:shd w:val="clear" w:color="auto" w:fill="FFFFFF"/>
              </w:rPr>
            </w:pPr>
          </w:p>
        </w:tc>
        <w:tc>
          <w:tcPr>
            <w:tcW w:w="1559" w:type="dxa"/>
            <w:tcBorders>
              <w:top w:val="nil"/>
              <w:bottom w:val="single" w:sz="6" w:space="0" w:color="auto"/>
            </w:tcBorders>
            <w:shd w:val="clear" w:color="auto" w:fill="auto"/>
            <w:vAlign w:val="center"/>
          </w:tcPr>
          <w:p w:rsidR="00F5516E" w:rsidRPr="00FC53F0" w:rsidRDefault="0071268E">
            <w:pPr>
              <w:snapToGrid w:val="0"/>
              <w:spacing w:line="288" w:lineRule="auto"/>
              <w:ind w:firstLineChars="200" w:firstLine="30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市场接受度</w:t>
            </w:r>
          </w:p>
        </w:tc>
        <w:tc>
          <w:tcPr>
            <w:tcW w:w="1560"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市场接受度</w:t>
            </w:r>
          </w:p>
        </w:tc>
        <w:tc>
          <w:tcPr>
            <w:tcW w:w="850"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8.55</w:t>
            </w:r>
          </w:p>
        </w:tc>
        <w:tc>
          <w:tcPr>
            <w:tcW w:w="1134"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7.71</w:t>
            </w:r>
          </w:p>
        </w:tc>
        <w:tc>
          <w:tcPr>
            <w:tcW w:w="851"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4.25</w:t>
            </w:r>
          </w:p>
        </w:tc>
        <w:tc>
          <w:tcPr>
            <w:tcW w:w="1071"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5.54</w:t>
            </w:r>
          </w:p>
        </w:tc>
      </w:tr>
      <w:tr w:rsidR="00FC53F0" w:rsidRPr="00FC53F0" w:rsidTr="00F5516E">
        <w:trPr>
          <w:jc w:val="center"/>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single" w:sz="6" w:space="0" w:color="auto"/>
              <w:bottom w:val="nil"/>
            </w:tcBorders>
            <w:shd w:val="clear" w:color="auto" w:fill="auto"/>
            <w:vAlign w:val="center"/>
          </w:tcPr>
          <w:p w:rsidR="00F5516E" w:rsidRPr="00FC53F0" w:rsidRDefault="0071268E">
            <w:pPr>
              <w:snapToGrid w:val="0"/>
              <w:spacing w:line="288" w:lineRule="auto"/>
              <w:jc w:val="center"/>
              <w:rPr>
                <w:rFonts w:ascii="Times New Roman" w:hAnsi="Times New Roman"/>
                <w:color w:val="auto"/>
                <w:sz w:val="15"/>
                <w:szCs w:val="15"/>
                <w:shd w:val="clear" w:color="auto" w:fill="FFFFFF"/>
              </w:rPr>
            </w:pPr>
            <w:r w:rsidRPr="00FC53F0">
              <w:rPr>
                <w:rFonts w:ascii="Times New Roman" w:hAnsi="Times New Roman"/>
                <w:b w:val="0"/>
                <w:bCs w:val="0"/>
                <w:color w:val="auto"/>
                <w:sz w:val="15"/>
                <w:szCs w:val="15"/>
                <w:shd w:val="clear" w:color="auto" w:fill="FFFFFF"/>
              </w:rPr>
              <w:t>政策支持度</w:t>
            </w:r>
          </w:p>
        </w:tc>
        <w:tc>
          <w:tcPr>
            <w:tcW w:w="1559" w:type="dxa"/>
            <w:vMerge w:val="restart"/>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法律法规</w:t>
            </w:r>
          </w:p>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支持性</w:t>
            </w:r>
          </w:p>
        </w:tc>
        <w:tc>
          <w:tcPr>
            <w:tcW w:w="1560" w:type="dxa"/>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物权法</w:t>
            </w:r>
          </w:p>
        </w:tc>
        <w:tc>
          <w:tcPr>
            <w:tcW w:w="850" w:type="dxa"/>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5.2</w:t>
            </w:r>
          </w:p>
        </w:tc>
        <w:tc>
          <w:tcPr>
            <w:tcW w:w="1134" w:type="dxa"/>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4.29</w:t>
            </w:r>
          </w:p>
        </w:tc>
        <w:tc>
          <w:tcPr>
            <w:tcW w:w="851" w:type="dxa"/>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2.3</w:t>
            </w:r>
          </w:p>
        </w:tc>
        <w:tc>
          <w:tcPr>
            <w:tcW w:w="1071" w:type="dxa"/>
            <w:tcBorders>
              <w:top w:val="single" w:sz="6" w:space="0" w:color="auto"/>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2.79</w:t>
            </w:r>
          </w:p>
        </w:tc>
      </w:tr>
      <w:tr w:rsidR="00FC53F0" w:rsidRPr="00FC53F0" w:rsidTr="00F5516E">
        <w:trPr>
          <w:jc w:val="center"/>
        </w:trPr>
        <w:tc>
          <w:tcPr>
            <w:cnfStyle w:val="001000000000" w:firstRow="0" w:lastRow="0" w:firstColumn="1" w:lastColumn="0" w:oddVBand="0" w:evenVBand="0" w:oddHBand="0" w:evenHBand="0" w:firstRowFirstColumn="0" w:firstRowLastColumn="0" w:lastRowFirstColumn="0" w:lastRowLastColumn="0"/>
            <w:tcW w:w="1271" w:type="dxa"/>
            <w:vMerge/>
            <w:tcBorders>
              <w:top w:val="nil"/>
              <w:bottom w:val="nil"/>
            </w:tcBorders>
            <w:shd w:val="clear" w:color="auto" w:fill="auto"/>
            <w:vAlign w:val="center"/>
          </w:tcPr>
          <w:p w:rsidR="00F5516E" w:rsidRPr="00FC53F0" w:rsidRDefault="00F5516E">
            <w:pPr>
              <w:snapToGrid w:val="0"/>
              <w:spacing w:line="288" w:lineRule="auto"/>
              <w:jc w:val="center"/>
              <w:rPr>
                <w:rFonts w:ascii="Times New Roman" w:hAnsi="Times New Roman"/>
                <w:b w:val="0"/>
                <w:bCs w:val="0"/>
                <w:color w:val="auto"/>
                <w:sz w:val="15"/>
                <w:szCs w:val="15"/>
                <w:shd w:val="clear" w:color="auto" w:fill="FFFFFF"/>
              </w:rPr>
            </w:pPr>
          </w:p>
        </w:tc>
        <w:tc>
          <w:tcPr>
            <w:tcW w:w="1559" w:type="dxa"/>
            <w:vMerge/>
            <w:tcBorders>
              <w:top w:val="nil"/>
              <w:bottom w:val="nil"/>
            </w:tcBorders>
            <w:shd w:val="clear" w:color="auto" w:fill="auto"/>
            <w:vAlign w:val="center"/>
          </w:tcPr>
          <w:p w:rsidR="00F5516E" w:rsidRPr="00FC53F0" w:rsidRDefault="00F5516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p>
        </w:tc>
        <w:tc>
          <w:tcPr>
            <w:tcW w:w="156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土地管理法</w:t>
            </w:r>
          </w:p>
        </w:tc>
        <w:tc>
          <w:tcPr>
            <w:tcW w:w="85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4.8</w:t>
            </w:r>
          </w:p>
        </w:tc>
        <w:tc>
          <w:tcPr>
            <w:tcW w:w="1134"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3.71</w:t>
            </w:r>
          </w:p>
        </w:tc>
        <w:tc>
          <w:tcPr>
            <w:tcW w:w="85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2.1</w:t>
            </w:r>
          </w:p>
        </w:tc>
        <w:tc>
          <w:tcPr>
            <w:tcW w:w="107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2.6</w:t>
            </w:r>
          </w:p>
        </w:tc>
      </w:tr>
      <w:tr w:rsidR="00FC53F0" w:rsidRPr="00FC53F0" w:rsidTr="00F5516E">
        <w:trPr>
          <w:jc w:val="center"/>
        </w:trPr>
        <w:tc>
          <w:tcPr>
            <w:cnfStyle w:val="001000000000" w:firstRow="0" w:lastRow="0" w:firstColumn="1" w:lastColumn="0" w:oddVBand="0" w:evenVBand="0" w:oddHBand="0" w:evenHBand="0" w:firstRowFirstColumn="0" w:firstRowLastColumn="0" w:lastRowFirstColumn="0" w:lastRowLastColumn="0"/>
            <w:tcW w:w="1271" w:type="dxa"/>
            <w:vMerge/>
            <w:tcBorders>
              <w:top w:val="nil"/>
              <w:bottom w:val="nil"/>
            </w:tcBorders>
            <w:shd w:val="clear" w:color="auto" w:fill="auto"/>
            <w:vAlign w:val="center"/>
          </w:tcPr>
          <w:p w:rsidR="00F5516E" w:rsidRPr="00FC53F0" w:rsidRDefault="00F5516E">
            <w:pPr>
              <w:snapToGrid w:val="0"/>
              <w:spacing w:line="288" w:lineRule="auto"/>
              <w:jc w:val="center"/>
              <w:rPr>
                <w:rFonts w:ascii="Times New Roman" w:hAnsi="Times New Roman"/>
                <w:b w:val="0"/>
                <w:bCs w:val="0"/>
                <w:color w:val="auto"/>
                <w:sz w:val="15"/>
                <w:szCs w:val="15"/>
                <w:shd w:val="clear" w:color="auto" w:fill="FFFFFF"/>
              </w:rPr>
            </w:pPr>
          </w:p>
        </w:tc>
        <w:tc>
          <w:tcPr>
            <w:tcW w:w="1559" w:type="dxa"/>
            <w:vMerge/>
            <w:tcBorders>
              <w:top w:val="nil"/>
              <w:bottom w:val="nil"/>
            </w:tcBorders>
            <w:shd w:val="clear" w:color="auto" w:fill="auto"/>
            <w:vAlign w:val="center"/>
          </w:tcPr>
          <w:p w:rsidR="00F5516E" w:rsidRPr="00FC53F0" w:rsidRDefault="00F5516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p>
        </w:tc>
        <w:tc>
          <w:tcPr>
            <w:tcW w:w="156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流转实施度</w:t>
            </w:r>
          </w:p>
        </w:tc>
        <w:tc>
          <w:tcPr>
            <w:tcW w:w="85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3.6</w:t>
            </w:r>
          </w:p>
        </w:tc>
        <w:tc>
          <w:tcPr>
            <w:tcW w:w="1134"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4.43</w:t>
            </w:r>
          </w:p>
        </w:tc>
        <w:tc>
          <w:tcPr>
            <w:tcW w:w="85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3.35</w:t>
            </w:r>
          </w:p>
        </w:tc>
        <w:tc>
          <w:tcPr>
            <w:tcW w:w="107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3.09</w:t>
            </w:r>
          </w:p>
        </w:tc>
      </w:tr>
      <w:tr w:rsidR="00FC53F0" w:rsidRPr="00FC53F0" w:rsidTr="00F5516E">
        <w:trPr>
          <w:jc w:val="center"/>
        </w:trPr>
        <w:tc>
          <w:tcPr>
            <w:cnfStyle w:val="001000000000" w:firstRow="0" w:lastRow="0" w:firstColumn="1" w:lastColumn="0" w:oddVBand="0" w:evenVBand="0" w:oddHBand="0" w:evenHBand="0" w:firstRowFirstColumn="0" w:firstRowLastColumn="0" w:lastRowFirstColumn="0" w:lastRowLastColumn="0"/>
            <w:tcW w:w="1271" w:type="dxa"/>
            <w:vMerge/>
            <w:tcBorders>
              <w:top w:val="nil"/>
              <w:bottom w:val="nil"/>
            </w:tcBorders>
            <w:shd w:val="clear" w:color="auto" w:fill="auto"/>
            <w:vAlign w:val="center"/>
          </w:tcPr>
          <w:p w:rsidR="00F5516E" w:rsidRPr="00FC53F0" w:rsidRDefault="00F5516E">
            <w:pPr>
              <w:snapToGrid w:val="0"/>
              <w:spacing w:line="288" w:lineRule="auto"/>
              <w:jc w:val="center"/>
              <w:rPr>
                <w:rFonts w:ascii="Times New Roman" w:hAnsi="Times New Roman"/>
                <w:b w:val="0"/>
                <w:bCs w:val="0"/>
                <w:color w:val="auto"/>
                <w:sz w:val="15"/>
                <w:szCs w:val="15"/>
                <w:shd w:val="clear" w:color="auto" w:fill="FFFFFF"/>
              </w:rPr>
            </w:pPr>
          </w:p>
        </w:tc>
        <w:tc>
          <w:tcPr>
            <w:tcW w:w="1559" w:type="dxa"/>
            <w:vMerge w:val="restart"/>
            <w:tcBorders>
              <w:top w:val="nil"/>
              <w:bottom w:val="nil"/>
            </w:tcBorders>
            <w:shd w:val="clear" w:color="auto" w:fill="auto"/>
            <w:vAlign w:val="center"/>
          </w:tcPr>
          <w:p w:rsidR="00F5516E" w:rsidRPr="00FC53F0" w:rsidRDefault="00F5516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p>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制度衔接性</w:t>
            </w:r>
          </w:p>
        </w:tc>
        <w:tc>
          <w:tcPr>
            <w:tcW w:w="156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征地制度</w:t>
            </w:r>
          </w:p>
        </w:tc>
        <w:tc>
          <w:tcPr>
            <w:tcW w:w="850"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2.15</w:t>
            </w:r>
          </w:p>
        </w:tc>
        <w:tc>
          <w:tcPr>
            <w:tcW w:w="1134"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3.14</w:t>
            </w:r>
          </w:p>
        </w:tc>
        <w:tc>
          <w:tcPr>
            <w:tcW w:w="85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1.26</w:t>
            </w:r>
          </w:p>
        </w:tc>
        <w:tc>
          <w:tcPr>
            <w:tcW w:w="1071" w:type="dxa"/>
            <w:tcBorders>
              <w:top w:val="nil"/>
              <w:bottom w:val="nil"/>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2.17</w:t>
            </w:r>
          </w:p>
        </w:tc>
      </w:tr>
      <w:tr w:rsidR="00FC53F0" w:rsidRPr="00FC53F0" w:rsidTr="00F5516E">
        <w:trPr>
          <w:jc w:val="center"/>
        </w:trPr>
        <w:tc>
          <w:tcPr>
            <w:cnfStyle w:val="001000000000" w:firstRow="0" w:lastRow="0" w:firstColumn="1" w:lastColumn="0" w:oddVBand="0" w:evenVBand="0" w:oddHBand="0" w:evenHBand="0" w:firstRowFirstColumn="0" w:firstRowLastColumn="0" w:lastRowFirstColumn="0" w:lastRowLastColumn="0"/>
            <w:tcW w:w="1271" w:type="dxa"/>
            <w:vMerge/>
            <w:tcBorders>
              <w:top w:val="nil"/>
              <w:bottom w:val="single" w:sz="6" w:space="0" w:color="auto"/>
            </w:tcBorders>
            <w:shd w:val="clear" w:color="auto" w:fill="auto"/>
            <w:vAlign w:val="center"/>
          </w:tcPr>
          <w:p w:rsidR="00F5516E" w:rsidRPr="00FC53F0" w:rsidRDefault="00F5516E">
            <w:pPr>
              <w:snapToGrid w:val="0"/>
              <w:spacing w:line="288" w:lineRule="auto"/>
              <w:jc w:val="center"/>
              <w:rPr>
                <w:rFonts w:ascii="Times New Roman" w:hAnsi="Times New Roman"/>
                <w:b w:val="0"/>
                <w:bCs w:val="0"/>
                <w:color w:val="auto"/>
                <w:sz w:val="15"/>
                <w:szCs w:val="15"/>
                <w:shd w:val="clear" w:color="auto" w:fill="FFFFFF"/>
              </w:rPr>
            </w:pPr>
          </w:p>
        </w:tc>
        <w:tc>
          <w:tcPr>
            <w:tcW w:w="1559" w:type="dxa"/>
            <w:vMerge/>
            <w:tcBorders>
              <w:top w:val="nil"/>
              <w:bottom w:val="single" w:sz="6" w:space="0" w:color="auto"/>
            </w:tcBorders>
            <w:shd w:val="clear" w:color="auto" w:fill="auto"/>
            <w:vAlign w:val="center"/>
          </w:tcPr>
          <w:p w:rsidR="00F5516E" w:rsidRPr="00FC53F0" w:rsidRDefault="00F5516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p>
        </w:tc>
        <w:tc>
          <w:tcPr>
            <w:tcW w:w="1560"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土地收益</w:t>
            </w:r>
          </w:p>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分配制度</w:t>
            </w:r>
          </w:p>
        </w:tc>
        <w:tc>
          <w:tcPr>
            <w:tcW w:w="850"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2.04</w:t>
            </w:r>
          </w:p>
        </w:tc>
        <w:tc>
          <w:tcPr>
            <w:tcW w:w="1134"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3.29</w:t>
            </w:r>
          </w:p>
        </w:tc>
        <w:tc>
          <w:tcPr>
            <w:tcW w:w="851"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1.09</w:t>
            </w:r>
          </w:p>
        </w:tc>
        <w:tc>
          <w:tcPr>
            <w:tcW w:w="1071" w:type="dxa"/>
            <w:tcBorders>
              <w:top w:val="nil"/>
              <w:bottom w:val="single" w:sz="6"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1.86</w:t>
            </w:r>
          </w:p>
        </w:tc>
      </w:tr>
      <w:tr w:rsidR="00FC53F0" w:rsidRPr="00FC53F0" w:rsidTr="00F5516E">
        <w:trPr>
          <w:jc w:val="center"/>
        </w:trPr>
        <w:tc>
          <w:tcPr>
            <w:cnfStyle w:val="001000000000" w:firstRow="0" w:lastRow="0" w:firstColumn="1" w:lastColumn="0" w:oddVBand="0" w:evenVBand="0" w:oddHBand="0" w:evenHBand="0" w:firstRowFirstColumn="0" w:firstRowLastColumn="0" w:lastRowFirstColumn="0" w:lastRowLastColumn="0"/>
            <w:tcW w:w="4390" w:type="dxa"/>
            <w:gridSpan w:val="3"/>
            <w:tcBorders>
              <w:top w:val="single" w:sz="6" w:space="0" w:color="auto"/>
              <w:bottom w:val="single" w:sz="8" w:space="0" w:color="auto"/>
            </w:tcBorders>
            <w:shd w:val="clear" w:color="auto" w:fill="auto"/>
            <w:vAlign w:val="center"/>
          </w:tcPr>
          <w:p w:rsidR="00F5516E" w:rsidRPr="00FC53F0" w:rsidRDefault="0071268E">
            <w:pPr>
              <w:snapToGrid w:val="0"/>
              <w:spacing w:line="288" w:lineRule="auto"/>
              <w:jc w:val="center"/>
              <w:rPr>
                <w:rFonts w:ascii="Times New Roman" w:hAnsi="Times New Roman"/>
                <w:color w:val="auto"/>
                <w:sz w:val="15"/>
                <w:szCs w:val="15"/>
                <w:shd w:val="clear" w:color="auto" w:fill="FFFFFF"/>
              </w:rPr>
            </w:pPr>
            <w:r w:rsidRPr="00FC53F0">
              <w:rPr>
                <w:rFonts w:ascii="Times New Roman" w:hAnsi="Times New Roman"/>
                <w:b w:val="0"/>
                <w:bCs w:val="0"/>
                <w:color w:val="auto"/>
                <w:sz w:val="15"/>
                <w:szCs w:val="15"/>
                <w:shd w:val="clear" w:color="auto" w:fill="FFFFFF"/>
              </w:rPr>
              <w:t>合计</w:t>
            </w:r>
          </w:p>
        </w:tc>
        <w:tc>
          <w:tcPr>
            <w:tcW w:w="850" w:type="dxa"/>
            <w:tcBorders>
              <w:top w:val="single" w:sz="6" w:space="0" w:color="auto"/>
              <w:bottom w:val="single" w:sz="8"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100</w:t>
            </w:r>
          </w:p>
        </w:tc>
        <w:tc>
          <w:tcPr>
            <w:tcW w:w="1134" w:type="dxa"/>
            <w:tcBorders>
              <w:top w:val="single" w:sz="6" w:space="0" w:color="auto"/>
              <w:bottom w:val="single" w:sz="8"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100</w:t>
            </w:r>
          </w:p>
        </w:tc>
        <w:tc>
          <w:tcPr>
            <w:tcW w:w="851" w:type="dxa"/>
            <w:tcBorders>
              <w:top w:val="single" w:sz="6" w:space="0" w:color="auto"/>
              <w:bottom w:val="single" w:sz="8"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68.61</w:t>
            </w:r>
          </w:p>
        </w:tc>
        <w:tc>
          <w:tcPr>
            <w:tcW w:w="1071" w:type="dxa"/>
            <w:tcBorders>
              <w:top w:val="single" w:sz="6" w:space="0" w:color="auto"/>
              <w:bottom w:val="single" w:sz="8" w:space="0" w:color="auto"/>
            </w:tcBorders>
            <w:shd w:val="clear" w:color="auto" w:fill="auto"/>
            <w:vAlign w:val="center"/>
          </w:tcPr>
          <w:p w:rsidR="00F5516E" w:rsidRPr="00FC53F0" w:rsidRDefault="0071268E">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5"/>
                <w:szCs w:val="15"/>
                <w:shd w:val="clear" w:color="auto" w:fill="FFFFFF"/>
              </w:rPr>
            </w:pPr>
            <w:r w:rsidRPr="00FC53F0">
              <w:rPr>
                <w:rFonts w:ascii="Times New Roman" w:hAnsi="Times New Roman"/>
                <w:color w:val="auto"/>
                <w:sz w:val="15"/>
                <w:szCs w:val="15"/>
                <w:shd w:val="clear" w:color="auto" w:fill="FFFFFF"/>
              </w:rPr>
              <w:t>78.47</w:t>
            </w:r>
          </w:p>
        </w:tc>
      </w:tr>
    </w:tbl>
    <w:p w:rsidR="00F5516E" w:rsidRPr="00FC53F0" w:rsidRDefault="0071268E" w:rsidP="00026C6C">
      <w:pPr>
        <w:spacing w:before="240"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参考前人研究文献</w:t>
      </w:r>
      <w:r w:rsidRPr="00FC53F0">
        <w:rPr>
          <w:rFonts w:asciiTheme="minorEastAsia" w:eastAsiaTheme="minorEastAsia" w:hAnsiTheme="minorEastAsia"/>
          <w:sz w:val="21"/>
          <w:szCs w:val="21"/>
          <w:shd w:val="clear" w:color="auto" w:fill="FFFFFF"/>
          <w:vertAlign w:val="superscript"/>
        </w:rPr>
        <w:t>[22,33]</w:t>
      </w:r>
      <w:r w:rsidRPr="00FC53F0">
        <w:rPr>
          <w:rFonts w:asciiTheme="minorEastAsia" w:eastAsiaTheme="minorEastAsia" w:hAnsiTheme="minorEastAsia"/>
          <w:sz w:val="21"/>
          <w:szCs w:val="21"/>
          <w:shd w:val="clear" w:color="auto" w:fill="FFFFFF"/>
        </w:rPr>
        <w:t>，集体建设用地权能修正系数公式为：</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i/>
          <w:position w:val="-24"/>
          <w:sz w:val="21"/>
          <w:szCs w:val="21"/>
          <w:shd w:val="clear" w:color="auto" w:fill="FFFFFF"/>
        </w:rPr>
        <w:object w:dxaOrig="1950" w:dyaOrig="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30.6pt" o:ole="">
            <v:imagedata r:id="rId9" o:title=""/>
          </v:shape>
          <o:OLEObject Type="Embed" ProgID="Equation.3" ShapeID="_x0000_i1025" DrawAspect="Content" ObjectID="_1686121834" r:id="rId10"/>
        </w:object>
      </w:r>
      <w:r w:rsidRPr="00FC53F0">
        <w:rPr>
          <w:rFonts w:asciiTheme="minorEastAsia" w:eastAsiaTheme="minorEastAsia" w:hAnsiTheme="minorEastAsia"/>
          <w:i/>
          <w:sz w:val="21"/>
          <w:szCs w:val="21"/>
          <w:shd w:val="clear" w:color="auto" w:fill="FFFFFF"/>
        </w:rPr>
        <w:t xml:space="preserve">                                                  </w:t>
      </w:r>
      <w:r w:rsidRPr="00FC53F0">
        <w:rPr>
          <w:rFonts w:asciiTheme="minorEastAsia" w:eastAsiaTheme="minorEastAsia" w:hAnsiTheme="minorEastAsia"/>
          <w:iCs/>
          <w:sz w:val="21"/>
          <w:szCs w:val="21"/>
          <w:shd w:val="clear" w:color="auto" w:fill="FFFFFF"/>
        </w:rPr>
        <w:t>（1）</w:t>
      </w:r>
    </w:p>
    <w:p w:rsidR="00F5516E" w:rsidRPr="00FC53F0" w:rsidRDefault="001F28DA" w:rsidP="00D00B0F">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式（1）</w:t>
      </w:r>
      <w:r w:rsidR="0071268E" w:rsidRPr="00FC53F0">
        <w:rPr>
          <w:rFonts w:asciiTheme="minorEastAsia" w:eastAsiaTheme="minorEastAsia" w:hAnsiTheme="minorEastAsia"/>
          <w:sz w:val="21"/>
          <w:szCs w:val="21"/>
          <w:shd w:val="clear" w:color="auto" w:fill="FFFFFF"/>
        </w:rPr>
        <w:t>中，</w:t>
      </w:r>
      <w:r w:rsidR="0071268E" w:rsidRPr="00FC53F0">
        <w:rPr>
          <w:rFonts w:asciiTheme="minorEastAsia" w:eastAsiaTheme="minorEastAsia" w:hAnsiTheme="minorEastAsia"/>
          <w:position w:val="-6"/>
          <w:sz w:val="21"/>
          <w:szCs w:val="21"/>
          <w:shd w:val="clear" w:color="auto" w:fill="FFFFFF"/>
        </w:rPr>
        <w:object w:dxaOrig="310" w:dyaOrig="310">
          <v:shape id="_x0000_i1026" type="#_x0000_t75" style="width:15.6pt;height:15.6pt" o:ole="">
            <v:imagedata r:id="rId11" o:title=""/>
          </v:shape>
          <o:OLEObject Type="Embed" ProgID="Equation.3" ShapeID="_x0000_i1026" DrawAspect="Content" ObjectID="_1686121835" r:id="rId12"/>
        </w:object>
      </w:r>
      <w:r w:rsidR="00D00B0F" w:rsidRPr="00FC53F0">
        <w:rPr>
          <w:rFonts w:asciiTheme="minorEastAsia" w:eastAsiaTheme="minorEastAsia" w:hAnsiTheme="minorEastAsia" w:hint="eastAsia"/>
          <w:sz w:val="21"/>
          <w:szCs w:val="21"/>
          <w:shd w:val="clear" w:color="auto" w:fill="FFFFFF"/>
        </w:rPr>
        <w:t>为</w:t>
      </w:r>
      <w:r w:rsidR="0071268E" w:rsidRPr="00FC53F0">
        <w:rPr>
          <w:rFonts w:asciiTheme="minorEastAsia" w:eastAsiaTheme="minorEastAsia" w:hAnsiTheme="minorEastAsia"/>
          <w:sz w:val="21"/>
          <w:szCs w:val="21"/>
          <w:shd w:val="clear" w:color="auto" w:fill="FFFFFF"/>
        </w:rPr>
        <w:t>分用途权能修正系数；</w:t>
      </w:r>
      <w:r w:rsidR="0071268E" w:rsidRPr="00FC53F0">
        <w:rPr>
          <w:rFonts w:asciiTheme="minorEastAsia" w:eastAsiaTheme="minorEastAsia" w:hAnsiTheme="minorEastAsia"/>
          <w:position w:val="-4"/>
          <w:sz w:val="21"/>
          <w:szCs w:val="21"/>
          <w:shd w:val="clear" w:color="auto" w:fill="FFFFFF"/>
        </w:rPr>
        <w:object w:dxaOrig="210" w:dyaOrig="210">
          <v:shape id="_x0000_i1027" type="#_x0000_t75" style="width:10.8pt;height:10.8pt" o:ole="">
            <v:imagedata r:id="rId13" o:title=""/>
          </v:shape>
          <o:OLEObject Type="Embed" ProgID="Equation.3" ShapeID="_x0000_i1027" DrawAspect="Content" ObjectID="_1686121836" r:id="rId14"/>
        </w:object>
      </w:r>
      <w:r w:rsidR="00D00B0F" w:rsidRPr="00FC53F0">
        <w:rPr>
          <w:rFonts w:asciiTheme="minorEastAsia" w:eastAsiaTheme="minorEastAsia" w:hAnsiTheme="minorEastAsia" w:hint="eastAsia"/>
          <w:sz w:val="21"/>
          <w:szCs w:val="21"/>
          <w:shd w:val="clear" w:color="auto" w:fill="FFFFFF"/>
        </w:rPr>
        <w:t>为</w:t>
      </w:r>
      <w:r w:rsidR="0071268E" w:rsidRPr="00FC53F0">
        <w:rPr>
          <w:rFonts w:asciiTheme="minorEastAsia" w:eastAsiaTheme="minorEastAsia" w:hAnsiTheme="minorEastAsia"/>
          <w:sz w:val="21"/>
          <w:szCs w:val="21"/>
          <w:shd w:val="clear" w:color="auto" w:fill="FFFFFF"/>
        </w:rPr>
        <w:t>分用途因子分值。</w:t>
      </w:r>
    </w:p>
    <w:p w:rsidR="00F5516E" w:rsidRPr="00FC53F0" w:rsidRDefault="0071268E" w:rsidP="002021E2">
      <w:pPr>
        <w:spacing w:line="360" w:lineRule="auto"/>
        <w:rPr>
          <w:rFonts w:asciiTheme="minorEastAsia" w:eastAsiaTheme="minorEastAsia" w:hAnsiTheme="minorEastAsia"/>
          <w:b/>
          <w:bCs/>
          <w:sz w:val="21"/>
          <w:szCs w:val="21"/>
          <w:shd w:val="clear" w:color="auto" w:fill="FFFFFF"/>
        </w:rPr>
      </w:pPr>
      <w:r w:rsidRPr="00FC53F0">
        <w:rPr>
          <w:rFonts w:asciiTheme="minorEastAsia" w:eastAsiaTheme="minorEastAsia" w:hAnsiTheme="minorEastAsia"/>
          <w:b/>
          <w:bCs/>
          <w:sz w:val="21"/>
          <w:szCs w:val="21"/>
          <w:shd w:val="clear" w:color="auto" w:fill="FFFFFF"/>
        </w:rPr>
        <w:t xml:space="preserve">2.4 </w:t>
      </w:r>
      <w:r w:rsidRPr="00FC53F0">
        <w:rPr>
          <w:rFonts w:asciiTheme="minorEastAsia" w:eastAsiaTheme="minorEastAsia" w:hAnsiTheme="minorEastAsia" w:hint="eastAsia"/>
          <w:b/>
          <w:bCs/>
          <w:sz w:val="21"/>
          <w:szCs w:val="21"/>
          <w:shd w:val="clear" w:color="auto" w:fill="FFFFFF"/>
        </w:rPr>
        <w:t>模糊综合评判</w:t>
      </w:r>
      <w:proofErr w:type="gramStart"/>
      <w:r w:rsidRPr="00FC53F0">
        <w:rPr>
          <w:rFonts w:asciiTheme="minorEastAsia" w:eastAsiaTheme="minorEastAsia" w:hAnsiTheme="minorEastAsia" w:hint="eastAsia"/>
          <w:b/>
          <w:bCs/>
          <w:sz w:val="21"/>
          <w:szCs w:val="21"/>
          <w:shd w:val="clear" w:color="auto" w:fill="FFFFFF"/>
        </w:rPr>
        <w:t>法评价</w:t>
      </w:r>
      <w:proofErr w:type="gramEnd"/>
      <w:r w:rsidRPr="00FC53F0">
        <w:rPr>
          <w:rFonts w:asciiTheme="minorEastAsia" w:eastAsiaTheme="minorEastAsia" w:hAnsiTheme="minorEastAsia" w:hint="eastAsia"/>
          <w:b/>
          <w:bCs/>
          <w:sz w:val="21"/>
          <w:szCs w:val="21"/>
          <w:shd w:val="clear" w:color="auto" w:fill="FFFFFF"/>
        </w:rPr>
        <w:t>修正系数</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模糊综合评价法</w:t>
      </w:r>
      <w:r w:rsidRPr="00FC53F0">
        <w:rPr>
          <w:rFonts w:asciiTheme="minorEastAsia" w:eastAsiaTheme="minorEastAsia" w:hAnsiTheme="minorEastAsia"/>
          <w:sz w:val="21"/>
          <w:szCs w:val="21"/>
          <w:shd w:val="clear" w:color="auto" w:fill="FFFFFF"/>
        </w:rPr>
        <w:t>是一种基于</w:t>
      </w:r>
      <w:hyperlink r:id="rId15" w:tgtFrame="_blank" w:history="1">
        <w:r w:rsidRPr="00FC53F0">
          <w:rPr>
            <w:rFonts w:asciiTheme="minorEastAsia" w:eastAsiaTheme="minorEastAsia" w:hAnsiTheme="minorEastAsia"/>
            <w:sz w:val="21"/>
            <w:szCs w:val="21"/>
          </w:rPr>
          <w:t>模糊数学</w:t>
        </w:r>
      </w:hyperlink>
      <w:r w:rsidRPr="00FC53F0">
        <w:rPr>
          <w:rFonts w:asciiTheme="minorEastAsia" w:eastAsiaTheme="minorEastAsia" w:hAnsiTheme="minorEastAsia"/>
          <w:sz w:val="21"/>
          <w:szCs w:val="21"/>
          <w:shd w:val="clear" w:color="auto" w:fill="FFFFFF"/>
        </w:rPr>
        <w:t>的综合评价方法。该综合评价法根据模糊数学的隶属</w:t>
      </w:r>
      <w:proofErr w:type="gramStart"/>
      <w:r w:rsidRPr="00FC53F0">
        <w:rPr>
          <w:rFonts w:asciiTheme="minorEastAsia" w:eastAsiaTheme="minorEastAsia" w:hAnsiTheme="minorEastAsia"/>
          <w:sz w:val="21"/>
          <w:szCs w:val="21"/>
          <w:shd w:val="clear" w:color="auto" w:fill="FFFFFF"/>
        </w:rPr>
        <w:t>度理论</w:t>
      </w:r>
      <w:proofErr w:type="gramEnd"/>
      <w:r w:rsidRPr="00FC53F0">
        <w:rPr>
          <w:rFonts w:asciiTheme="minorEastAsia" w:eastAsiaTheme="minorEastAsia" w:hAnsiTheme="minorEastAsia"/>
          <w:sz w:val="21"/>
          <w:szCs w:val="21"/>
          <w:shd w:val="clear" w:color="auto" w:fill="FFFFFF"/>
        </w:rPr>
        <w:t>把</w:t>
      </w:r>
      <w:hyperlink r:id="rId16" w:tgtFrame="_blank" w:history="1">
        <w:r w:rsidRPr="00FC53F0">
          <w:rPr>
            <w:rFonts w:asciiTheme="minorEastAsia" w:eastAsiaTheme="minorEastAsia" w:hAnsiTheme="minorEastAsia"/>
            <w:sz w:val="21"/>
            <w:szCs w:val="21"/>
          </w:rPr>
          <w:t>定性评价</w:t>
        </w:r>
      </w:hyperlink>
      <w:r w:rsidRPr="00FC53F0">
        <w:rPr>
          <w:rFonts w:asciiTheme="minorEastAsia" w:eastAsiaTheme="minorEastAsia" w:hAnsiTheme="minorEastAsia"/>
          <w:sz w:val="21"/>
          <w:szCs w:val="21"/>
          <w:shd w:val="clear" w:color="auto" w:fill="FFFFFF"/>
        </w:rPr>
        <w:t>转化为定量评价，即用模糊数学对受到多种因素制约的事物或对象做出一个总体的评价。它具有结果清晰</w:t>
      </w:r>
      <w:r w:rsidR="00D00B0F"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sz w:val="21"/>
          <w:szCs w:val="21"/>
          <w:shd w:val="clear" w:color="auto" w:fill="FFFFFF"/>
        </w:rPr>
        <w:t>系统性强的特点，能较好地解决模糊的、难以量化的问题，适合各种非确定性问题的解决</w:t>
      </w:r>
      <w:r w:rsidRPr="00FC53F0">
        <w:rPr>
          <w:rFonts w:asciiTheme="minorEastAsia" w:eastAsiaTheme="minorEastAsia" w:hAnsiTheme="minorEastAsia" w:hint="eastAsia"/>
          <w:sz w:val="21"/>
          <w:szCs w:val="21"/>
          <w:shd w:val="clear" w:color="auto" w:fill="FFFFFF"/>
        </w:rPr>
        <w:t>，而特尔斐法确定的修正系数主观性较强，因此本文使用模糊综合评判法来进一步确定其准确性。</w:t>
      </w:r>
    </w:p>
    <w:p w:rsidR="00F5516E" w:rsidRPr="00FC53F0" w:rsidRDefault="0071268E" w:rsidP="002021E2">
      <w:pPr>
        <w:spacing w:line="360" w:lineRule="auto"/>
        <w:ind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（1）选定因素集</w:t>
      </w:r>
      <w:r w:rsidRPr="00FC53F0">
        <w:rPr>
          <w:rFonts w:asciiTheme="minorEastAsia" w:eastAsiaTheme="minorEastAsia" w:hAnsiTheme="minorEastAsia" w:hint="eastAsia"/>
          <w:position w:val="-12"/>
          <w:sz w:val="21"/>
          <w:szCs w:val="21"/>
          <w:shd w:val="clear" w:color="auto" w:fill="FFFFFF"/>
        </w:rPr>
        <w:object w:dxaOrig="1690" w:dyaOrig="360">
          <v:shape id="_x0000_i1028" type="#_x0000_t75" style="width:84.6pt;height:18pt" o:ole="">
            <v:imagedata r:id="rId17" o:title=""/>
          </v:shape>
          <o:OLEObject Type="Embed" ProgID="Equation.3" ShapeID="_x0000_i1028" DrawAspect="Content" ObjectID="_1686121837" r:id="rId18"/>
        </w:object>
      </w:r>
      <w:r w:rsidRPr="00FC53F0">
        <w:rPr>
          <w:rFonts w:asciiTheme="minorEastAsia" w:eastAsiaTheme="minorEastAsia" w:hAnsiTheme="minorEastAsia" w:hint="eastAsia"/>
          <w:sz w:val="21"/>
          <w:szCs w:val="21"/>
          <w:shd w:val="clear" w:color="auto" w:fill="FFFFFF"/>
        </w:rPr>
        <w:t>，</w:t>
      </w:r>
      <w:proofErr w:type="gramStart"/>
      <w:r w:rsidRPr="00FC53F0">
        <w:rPr>
          <w:rFonts w:asciiTheme="minorEastAsia" w:eastAsiaTheme="minorEastAsia" w:hAnsiTheme="minorEastAsia" w:hint="eastAsia"/>
          <w:sz w:val="21"/>
          <w:szCs w:val="21"/>
          <w:shd w:val="clear" w:color="auto" w:fill="FFFFFF"/>
        </w:rPr>
        <w:t>将因素集</w:t>
      </w:r>
      <w:proofErr w:type="gramEnd"/>
      <w:r w:rsidRPr="00FC53F0">
        <w:rPr>
          <w:rFonts w:asciiTheme="minorEastAsia" w:eastAsiaTheme="minorEastAsia" w:hAnsiTheme="minorEastAsia" w:hint="eastAsia"/>
          <w:sz w:val="21"/>
          <w:szCs w:val="21"/>
          <w:shd w:val="clear" w:color="auto" w:fill="FFFFFF"/>
        </w:rPr>
        <w:t>进行分解。设定评价集</w:t>
      </w:r>
      <w:r w:rsidRPr="00FC53F0">
        <w:rPr>
          <w:rFonts w:asciiTheme="minorEastAsia" w:eastAsiaTheme="minorEastAsia" w:hAnsiTheme="minorEastAsia" w:hint="eastAsia"/>
          <w:position w:val="-12"/>
          <w:sz w:val="21"/>
          <w:szCs w:val="21"/>
          <w:shd w:val="clear" w:color="auto" w:fill="FFFFFF"/>
        </w:rPr>
        <w:object w:dxaOrig="1710" w:dyaOrig="360">
          <v:shape id="_x0000_i1029" type="#_x0000_t75" style="width:85.8pt;height:18pt" o:ole="">
            <v:imagedata r:id="rId19" o:title=""/>
          </v:shape>
          <o:OLEObject Type="Embed" ProgID="Equation.3" ShapeID="_x0000_i1029" DrawAspect="Content" ObjectID="_1686121838" r:id="rId20"/>
        </w:object>
      </w:r>
      <w:r w:rsidRPr="00FC53F0">
        <w:rPr>
          <w:rFonts w:asciiTheme="minorEastAsia" w:eastAsiaTheme="minorEastAsia" w:hAnsiTheme="minorEastAsia" w:hint="eastAsia"/>
          <w:sz w:val="21"/>
          <w:szCs w:val="21"/>
          <w:shd w:val="clear" w:color="auto" w:fill="FFFFFF"/>
        </w:rPr>
        <w:t>。根据</w:t>
      </w:r>
      <w:r w:rsidRPr="00FC53F0">
        <w:rPr>
          <w:rFonts w:asciiTheme="minorEastAsia" w:eastAsiaTheme="minorEastAsia" w:hAnsiTheme="minorEastAsia" w:hint="eastAsia"/>
          <w:position w:val="-4"/>
          <w:sz w:val="21"/>
          <w:szCs w:val="21"/>
          <w:shd w:val="clear" w:color="auto" w:fill="FFFFFF"/>
        </w:rPr>
        <w:object w:dxaOrig="250" w:dyaOrig="250">
          <v:shape id="_x0000_i1030" type="#_x0000_t75" style="width:12.6pt;height:12.6pt" o:ole="">
            <v:imagedata r:id="rId21" o:title=""/>
          </v:shape>
          <o:OLEObject Type="Embed" ProgID="Equation.3" ShapeID="_x0000_i1030" DrawAspect="Content" ObjectID="_1686121839" r:id="rId22"/>
        </w:object>
      </w:r>
      <w:r w:rsidRPr="00FC53F0">
        <w:rPr>
          <w:rFonts w:asciiTheme="minorEastAsia" w:eastAsiaTheme="minorEastAsia" w:hAnsiTheme="minorEastAsia" w:hint="eastAsia"/>
          <w:sz w:val="21"/>
          <w:szCs w:val="21"/>
          <w:shd w:val="clear" w:color="auto" w:fill="FFFFFF"/>
        </w:rPr>
        <w:t>中因素的属性将</w:t>
      </w:r>
      <w:r w:rsidRPr="00FC53F0">
        <w:rPr>
          <w:rFonts w:asciiTheme="minorEastAsia" w:eastAsiaTheme="minorEastAsia" w:hAnsiTheme="minorEastAsia" w:hint="eastAsia"/>
          <w:position w:val="-4"/>
          <w:sz w:val="21"/>
          <w:szCs w:val="21"/>
          <w:shd w:val="clear" w:color="auto" w:fill="FFFFFF"/>
        </w:rPr>
        <w:object w:dxaOrig="250" w:dyaOrig="250">
          <v:shape id="_x0000_i1031" type="#_x0000_t75" style="width:12.6pt;height:12.6pt" o:ole="">
            <v:imagedata r:id="rId21" o:title=""/>
          </v:shape>
          <o:OLEObject Type="Embed" ProgID="Equation.3" ShapeID="_x0000_i1031" DrawAspect="Content" ObjectID="_1686121840" r:id="rId23"/>
        </w:object>
      </w:r>
      <w:r w:rsidRPr="00FC53F0">
        <w:rPr>
          <w:rFonts w:asciiTheme="minorEastAsia" w:eastAsiaTheme="minorEastAsia" w:hAnsiTheme="minorEastAsia" w:hint="eastAsia"/>
          <w:sz w:val="21"/>
          <w:szCs w:val="21"/>
          <w:shd w:val="clear" w:color="auto" w:fill="FFFFFF"/>
        </w:rPr>
        <w:t>分解为</w:t>
      </w:r>
      <w:r w:rsidRPr="00FC53F0">
        <w:rPr>
          <w:rFonts w:asciiTheme="minorEastAsia" w:eastAsiaTheme="minorEastAsia" w:hAnsiTheme="minorEastAsia" w:hint="eastAsia"/>
          <w:position w:val="-6"/>
          <w:sz w:val="21"/>
          <w:szCs w:val="21"/>
          <w:shd w:val="clear" w:color="auto" w:fill="FFFFFF"/>
        </w:rPr>
        <w:object w:dxaOrig="200" w:dyaOrig="270">
          <v:shape id="_x0000_i1032" type="#_x0000_t75" style="width:10.8pt;height:13.8pt" o:ole="">
            <v:imagedata r:id="rId24" o:title=""/>
          </v:shape>
          <o:OLEObject Type="Embed" ProgID="Equation.3" ShapeID="_x0000_i1032" DrawAspect="Content" ObjectID="_1686121841" r:id="rId25"/>
        </w:object>
      </w:r>
      <w:r w:rsidRPr="00FC53F0">
        <w:rPr>
          <w:rFonts w:asciiTheme="minorEastAsia" w:eastAsiaTheme="minorEastAsia" w:hAnsiTheme="minorEastAsia" w:hint="eastAsia"/>
          <w:sz w:val="21"/>
          <w:szCs w:val="21"/>
          <w:shd w:val="clear" w:color="auto" w:fill="FFFFFF"/>
        </w:rPr>
        <w:t>组，</w:t>
      </w:r>
      <w:r w:rsidRPr="00FC53F0">
        <w:rPr>
          <w:rFonts w:asciiTheme="minorEastAsia" w:eastAsiaTheme="minorEastAsia" w:hAnsiTheme="minorEastAsia" w:hint="eastAsia"/>
          <w:position w:val="-12"/>
          <w:sz w:val="21"/>
          <w:szCs w:val="21"/>
          <w:shd w:val="clear" w:color="auto" w:fill="FFFFFF"/>
        </w:rPr>
        <w:object w:dxaOrig="1820" w:dyaOrig="360">
          <v:shape id="_x0000_i1033" type="#_x0000_t75" style="width:90.6pt;height:18pt" o:ole="">
            <v:imagedata r:id="rId26" o:title=""/>
          </v:shape>
          <o:OLEObject Type="Embed" ProgID="Equation.3" ShapeID="_x0000_i1033" DrawAspect="Content" ObjectID="_1686121842" r:id="rId27"/>
        </w:object>
      </w:r>
      <w:r w:rsidRPr="00FC53F0">
        <w:rPr>
          <w:rFonts w:asciiTheme="minorEastAsia" w:eastAsiaTheme="minorEastAsia" w:hAnsiTheme="minorEastAsia" w:hint="eastAsia"/>
          <w:sz w:val="21"/>
          <w:szCs w:val="21"/>
          <w:shd w:val="clear" w:color="auto" w:fill="FFFFFF"/>
        </w:rPr>
        <w:t>，使得</w:t>
      </w:r>
      <w:r w:rsidRPr="00FC53F0">
        <w:rPr>
          <w:rFonts w:asciiTheme="minorEastAsia" w:eastAsiaTheme="minorEastAsia" w:hAnsiTheme="minorEastAsia" w:hint="eastAsia"/>
          <w:position w:val="-28"/>
          <w:sz w:val="21"/>
          <w:szCs w:val="21"/>
          <w:shd w:val="clear" w:color="auto" w:fill="FFFFFF"/>
        </w:rPr>
        <w:object w:dxaOrig="2720" w:dyaOrig="680">
          <v:shape id="_x0000_i1034" type="#_x0000_t75" style="width:136.8pt;height:34.8pt" o:ole="">
            <v:imagedata r:id="rId28" o:title=""/>
          </v:shape>
          <o:OLEObject Type="Embed" ProgID="Equation.3" ShapeID="_x0000_i1034" DrawAspect="Content" ObjectID="_1686121843" r:id="rId29"/>
        </w:object>
      </w:r>
      <w:r w:rsidRPr="00FC53F0">
        <w:rPr>
          <w:rFonts w:asciiTheme="minorEastAsia" w:eastAsiaTheme="minorEastAsia" w:hAnsiTheme="minorEastAsia" w:hint="eastAsia"/>
          <w:sz w:val="21"/>
          <w:szCs w:val="21"/>
          <w:shd w:val="clear" w:color="auto" w:fill="FFFFFF"/>
        </w:rPr>
        <w:t>。</w:t>
      </w:r>
    </w:p>
    <w:p w:rsidR="00F5516E" w:rsidRPr="00FC53F0" w:rsidRDefault="0071268E" w:rsidP="002021E2">
      <w:pPr>
        <w:spacing w:line="360" w:lineRule="auto"/>
        <w:ind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（2）利用一级模型分别进行一级综合评价。对每个</w:t>
      </w:r>
      <w:r w:rsidRPr="00FC53F0">
        <w:rPr>
          <w:rFonts w:asciiTheme="minorEastAsia" w:eastAsiaTheme="minorEastAsia" w:hAnsiTheme="minorEastAsia" w:hint="eastAsia"/>
          <w:position w:val="-12"/>
          <w:sz w:val="21"/>
          <w:szCs w:val="21"/>
          <w:shd w:val="clear" w:color="auto" w:fill="FFFFFF"/>
        </w:rPr>
        <w:object w:dxaOrig="250" w:dyaOrig="360">
          <v:shape id="_x0000_i1035" type="#_x0000_t75" style="width:12.6pt;height:18pt" o:ole="">
            <v:imagedata r:id="rId30" o:title=""/>
          </v:shape>
          <o:OLEObject Type="Embed" ProgID="Equation.3" ShapeID="_x0000_i1035" DrawAspect="Content" ObjectID="_1686121844" r:id="rId31"/>
        </w:object>
      </w:r>
      <w:r w:rsidRPr="00FC53F0">
        <w:rPr>
          <w:rFonts w:asciiTheme="minorEastAsia" w:eastAsiaTheme="minorEastAsia" w:hAnsiTheme="minorEastAsia" w:hint="eastAsia"/>
          <w:sz w:val="21"/>
          <w:szCs w:val="21"/>
          <w:shd w:val="clear" w:color="auto" w:fill="FFFFFF"/>
        </w:rPr>
        <w:t>，都有</w:t>
      </w:r>
      <w:r w:rsidRPr="00FC53F0">
        <w:rPr>
          <w:rFonts w:asciiTheme="minorEastAsia" w:eastAsiaTheme="minorEastAsia" w:hAnsiTheme="minorEastAsia" w:hint="eastAsia"/>
          <w:position w:val="-12"/>
          <w:sz w:val="21"/>
          <w:szCs w:val="21"/>
          <w:shd w:val="clear" w:color="auto" w:fill="FFFFFF"/>
        </w:rPr>
        <w:object w:dxaOrig="2390" w:dyaOrig="360">
          <v:shape id="_x0000_i1036" type="#_x0000_t75" style="width:119.4pt;height:18pt" o:ole="">
            <v:imagedata r:id="rId32" o:title=""/>
          </v:shape>
          <o:OLEObject Type="Embed" ProgID="Equation.3" ShapeID="_x0000_i1036" DrawAspect="Content" ObjectID="_1686121845" r:id="rId33"/>
        </w:object>
      </w:r>
      <w:r w:rsidRPr="00FC53F0">
        <w:rPr>
          <w:rFonts w:asciiTheme="minorEastAsia" w:eastAsiaTheme="minorEastAsia" w:hAnsiTheme="minorEastAsia" w:hint="eastAsia"/>
          <w:sz w:val="21"/>
          <w:szCs w:val="21"/>
          <w:shd w:val="clear" w:color="auto" w:fill="FFFFFF"/>
        </w:rPr>
        <w:t>，其中</w:t>
      </w:r>
      <w:r w:rsidRPr="00FC53F0">
        <w:rPr>
          <w:rFonts w:asciiTheme="minorEastAsia" w:eastAsiaTheme="minorEastAsia" w:hAnsiTheme="minorEastAsia" w:hint="eastAsia"/>
          <w:position w:val="-12"/>
          <w:sz w:val="21"/>
          <w:szCs w:val="21"/>
          <w:shd w:val="clear" w:color="auto" w:fill="FFFFFF"/>
        </w:rPr>
        <w:object w:dxaOrig="250" w:dyaOrig="360">
          <v:shape id="_x0000_i1037" type="#_x0000_t75" style="width:12.6pt;height:18pt" o:ole="">
            <v:imagedata r:id="rId34" o:title=""/>
          </v:shape>
          <o:OLEObject Type="Embed" ProgID="Equation.3" ShapeID="_x0000_i1037" DrawAspect="Content" ObjectID="_1686121846" r:id="rId35"/>
        </w:object>
      </w:r>
      <w:r w:rsidRPr="00FC53F0">
        <w:rPr>
          <w:rFonts w:asciiTheme="minorEastAsia" w:eastAsiaTheme="minorEastAsia" w:hAnsiTheme="minorEastAsia" w:hint="eastAsia"/>
          <w:sz w:val="21"/>
          <w:szCs w:val="21"/>
          <w:shd w:val="clear" w:color="auto" w:fill="FFFFFF"/>
        </w:rPr>
        <w:t>是</w:t>
      </w:r>
      <w:r w:rsidRPr="00FC53F0">
        <w:rPr>
          <w:rFonts w:asciiTheme="minorEastAsia" w:eastAsiaTheme="minorEastAsia" w:hAnsiTheme="minorEastAsia" w:hint="eastAsia"/>
          <w:position w:val="-12"/>
          <w:sz w:val="21"/>
          <w:szCs w:val="21"/>
          <w:shd w:val="clear" w:color="auto" w:fill="FFFFFF"/>
        </w:rPr>
        <w:object w:dxaOrig="250" w:dyaOrig="360">
          <v:shape id="_x0000_i1038" type="#_x0000_t75" style="width:12.6pt;height:18pt" o:ole="">
            <v:imagedata r:id="rId30" o:title=""/>
          </v:shape>
          <o:OLEObject Type="Embed" ProgID="Equation.3" ShapeID="_x0000_i1038" DrawAspect="Content" ObjectID="_1686121847" r:id="rId36"/>
        </w:object>
      </w:r>
      <w:r w:rsidRPr="00FC53F0">
        <w:rPr>
          <w:rFonts w:asciiTheme="minorEastAsia" w:eastAsiaTheme="minorEastAsia" w:hAnsiTheme="minorEastAsia" w:hint="eastAsia"/>
          <w:sz w:val="21"/>
          <w:szCs w:val="21"/>
          <w:shd w:val="clear" w:color="auto" w:fill="FFFFFF"/>
        </w:rPr>
        <w:t>上的权重向量，</w:t>
      </w:r>
      <w:r w:rsidRPr="00FC53F0">
        <w:rPr>
          <w:rFonts w:asciiTheme="minorEastAsia" w:eastAsiaTheme="minorEastAsia" w:hAnsiTheme="minorEastAsia" w:hint="eastAsia"/>
          <w:position w:val="-12"/>
          <w:sz w:val="21"/>
          <w:szCs w:val="21"/>
          <w:shd w:val="clear" w:color="auto" w:fill="FFFFFF"/>
        </w:rPr>
        <w:object w:dxaOrig="250" w:dyaOrig="360">
          <v:shape id="_x0000_i1039" type="#_x0000_t75" style="width:12.6pt;height:18pt" o:ole="">
            <v:imagedata r:id="rId37" o:title=""/>
          </v:shape>
          <o:OLEObject Type="Embed" ProgID="Equation.3" ShapeID="_x0000_i1039" DrawAspect="Content" ObjectID="_1686121848" r:id="rId38"/>
        </w:object>
      </w:r>
      <w:r w:rsidRPr="00FC53F0">
        <w:rPr>
          <w:rFonts w:asciiTheme="minorEastAsia" w:eastAsiaTheme="minorEastAsia" w:hAnsiTheme="minorEastAsia" w:hint="eastAsia"/>
          <w:sz w:val="21"/>
          <w:szCs w:val="21"/>
          <w:shd w:val="clear" w:color="auto" w:fill="FFFFFF"/>
        </w:rPr>
        <w:t>是对</w:t>
      </w:r>
      <w:r w:rsidRPr="00FC53F0">
        <w:rPr>
          <w:rFonts w:asciiTheme="minorEastAsia" w:eastAsiaTheme="minorEastAsia" w:hAnsiTheme="minorEastAsia" w:hint="eastAsia"/>
          <w:position w:val="-12"/>
          <w:sz w:val="21"/>
          <w:szCs w:val="21"/>
          <w:shd w:val="clear" w:color="auto" w:fill="FFFFFF"/>
        </w:rPr>
        <w:object w:dxaOrig="250" w:dyaOrig="360">
          <v:shape id="_x0000_i1040" type="#_x0000_t75" style="width:12.6pt;height:18pt" o:ole="">
            <v:imagedata r:id="rId30" o:title=""/>
          </v:shape>
          <o:OLEObject Type="Embed" ProgID="Equation.3" ShapeID="_x0000_i1040" DrawAspect="Content" ObjectID="_1686121849" r:id="rId39"/>
        </w:object>
      </w:r>
      <w:r w:rsidRPr="00FC53F0">
        <w:rPr>
          <w:rFonts w:asciiTheme="minorEastAsia" w:eastAsiaTheme="minorEastAsia" w:hAnsiTheme="minorEastAsia" w:hint="eastAsia"/>
          <w:sz w:val="21"/>
          <w:szCs w:val="21"/>
          <w:shd w:val="clear" w:color="auto" w:fill="FFFFFF"/>
        </w:rPr>
        <w:t>的单因素模糊评价矩阵，</w:t>
      </w:r>
      <w:r w:rsidRPr="00FC53F0">
        <w:rPr>
          <w:rFonts w:asciiTheme="minorEastAsia" w:eastAsiaTheme="minorEastAsia" w:hAnsiTheme="minorEastAsia" w:hint="eastAsia"/>
          <w:position w:val="-12"/>
          <w:sz w:val="21"/>
          <w:szCs w:val="21"/>
          <w:shd w:val="clear" w:color="auto" w:fill="FFFFFF"/>
        </w:rPr>
        <w:object w:dxaOrig="250" w:dyaOrig="360">
          <v:shape id="_x0000_i1041" type="#_x0000_t75" style="width:12.6pt;height:18pt" o:ole="">
            <v:imagedata r:id="rId40" o:title=""/>
          </v:shape>
          <o:OLEObject Type="Embed" ProgID="Equation.3" ShapeID="_x0000_i1041" DrawAspect="Content" ObjectID="_1686121850" r:id="rId41"/>
        </w:object>
      </w:r>
      <w:r w:rsidRPr="00FC53F0">
        <w:rPr>
          <w:rFonts w:asciiTheme="minorEastAsia" w:eastAsiaTheme="minorEastAsia" w:hAnsiTheme="minorEastAsia" w:hint="eastAsia"/>
          <w:sz w:val="21"/>
          <w:szCs w:val="21"/>
          <w:shd w:val="clear" w:color="auto" w:fill="FFFFFF"/>
        </w:rPr>
        <w:t>是</w:t>
      </w:r>
      <w:r w:rsidRPr="00FC53F0">
        <w:rPr>
          <w:rFonts w:asciiTheme="minorEastAsia" w:eastAsiaTheme="minorEastAsia" w:hAnsiTheme="minorEastAsia" w:hint="eastAsia"/>
          <w:position w:val="-12"/>
          <w:sz w:val="21"/>
          <w:szCs w:val="21"/>
          <w:shd w:val="clear" w:color="auto" w:fill="FFFFFF"/>
        </w:rPr>
        <w:object w:dxaOrig="250" w:dyaOrig="360">
          <v:shape id="_x0000_i1042" type="#_x0000_t75" style="width:12.6pt;height:18pt" o:ole="">
            <v:imagedata r:id="rId42" o:title=""/>
          </v:shape>
          <o:OLEObject Type="Embed" ProgID="Equation.3" ShapeID="_x0000_i1042" DrawAspect="Content" ObjectID="_1686121851" r:id="rId43"/>
        </w:object>
      </w:r>
      <w:r w:rsidRPr="00FC53F0">
        <w:rPr>
          <w:rFonts w:asciiTheme="minorEastAsia" w:eastAsiaTheme="minorEastAsia" w:hAnsiTheme="minorEastAsia" w:hint="eastAsia"/>
          <w:sz w:val="21"/>
          <w:szCs w:val="21"/>
          <w:shd w:val="clear" w:color="auto" w:fill="FFFFFF"/>
        </w:rPr>
        <w:t>的一级评价结果。</w:t>
      </w:r>
    </w:p>
    <w:p w:rsidR="00F5516E" w:rsidRPr="00FC53F0" w:rsidRDefault="0071268E" w:rsidP="002021E2">
      <w:pPr>
        <w:spacing w:line="360" w:lineRule="auto"/>
        <w:ind w:firstLine="420"/>
        <w:rPr>
          <w:rFonts w:asciiTheme="minorEastAsia" w:eastAsiaTheme="minorEastAsia" w:hAnsiTheme="minorEastAsia"/>
          <w:position w:val="-4"/>
          <w:sz w:val="21"/>
          <w:szCs w:val="21"/>
          <w:shd w:val="clear" w:color="auto" w:fill="FFFFFF"/>
        </w:rPr>
      </w:pPr>
      <w:r w:rsidRPr="00FC53F0">
        <w:rPr>
          <w:rFonts w:asciiTheme="minorEastAsia" w:eastAsiaTheme="minorEastAsia" w:hAnsiTheme="minorEastAsia" w:hint="eastAsia"/>
          <w:sz w:val="21"/>
          <w:szCs w:val="21"/>
          <w:shd w:val="clear" w:color="auto" w:fill="FFFFFF"/>
        </w:rPr>
        <w:lastRenderedPageBreak/>
        <w:t>（3）多级综合评价。将以上得到的单因素评价结果构成一个</w:t>
      </w:r>
      <w:r w:rsidRPr="00FC53F0">
        <w:rPr>
          <w:rFonts w:asciiTheme="minorEastAsia" w:eastAsiaTheme="minorEastAsia" w:hAnsiTheme="minorEastAsia" w:hint="eastAsia"/>
          <w:position w:val="-4"/>
          <w:sz w:val="21"/>
          <w:szCs w:val="21"/>
          <w:shd w:val="clear" w:color="auto" w:fill="FFFFFF"/>
        </w:rPr>
        <w:object w:dxaOrig="590" w:dyaOrig="250">
          <v:shape id="_x0000_i1043" type="#_x0000_t75" style="width:29.4pt;height:12.6pt" o:ole="">
            <v:imagedata r:id="rId44" o:title=""/>
          </v:shape>
          <o:OLEObject Type="Embed" ProgID="Equation.3" ShapeID="_x0000_i1043" DrawAspect="Content" ObjectID="_1686121852" r:id="rId45"/>
        </w:object>
      </w:r>
      <w:r w:rsidRPr="00FC53F0">
        <w:rPr>
          <w:rFonts w:asciiTheme="minorEastAsia" w:eastAsiaTheme="minorEastAsia" w:hAnsiTheme="minorEastAsia" w:hint="eastAsia"/>
          <w:sz w:val="21"/>
          <w:szCs w:val="21"/>
          <w:shd w:val="clear" w:color="auto" w:fill="FFFFFF"/>
        </w:rPr>
        <w:t>阶模糊评价矩阵</w:t>
      </w:r>
      <w:r w:rsidRPr="00FC53F0">
        <w:rPr>
          <w:rFonts w:asciiTheme="minorEastAsia" w:eastAsiaTheme="minorEastAsia" w:hAnsiTheme="minorEastAsia" w:hint="eastAsia"/>
          <w:position w:val="-4"/>
          <w:sz w:val="21"/>
          <w:szCs w:val="21"/>
          <w:shd w:val="clear" w:color="auto" w:fill="FFFFFF"/>
        </w:rPr>
        <w:t>，并</w:t>
      </w:r>
      <w:r w:rsidRPr="00FC53F0">
        <w:rPr>
          <w:rFonts w:asciiTheme="minorEastAsia" w:eastAsiaTheme="minorEastAsia" w:hAnsiTheme="minorEastAsia" w:hint="eastAsia"/>
          <w:position w:val="-68"/>
          <w:sz w:val="21"/>
          <w:szCs w:val="21"/>
          <w:shd w:val="clear" w:color="auto" w:fill="FFFFFF"/>
        </w:rPr>
        <w:object w:dxaOrig="960" w:dyaOrig="1490">
          <v:shape id="_x0000_i1044" type="#_x0000_t75" style="width:48pt;height:74.4pt" o:ole="">
            <v:imagedata r:id="rId46" o:title=""/>
          </v:shape>
          <o:OLEObject Type="Embed" ProgID="Equation.3" ShapeID="_x0000_i1044" DrawAspect="Content" ObjectID="_1686121853" r:id="rId47"/>
        </w:object>
      </w:r>
      <w:r w:rsidRPr="00FC53F0">
        <w:rPr>
          <w:rFonts w:asciiTheme="minorEastAsia" w:eastAsiaTheme="minorEastAsia" w:hAnsiTheme="minorEastAsia" w:hint="eastAsia"/>
          <w:position w:val="-4"/>
          <w:sz w:val="21"/>
          <w:szCs w:val="21"/>
          <w:shd w:val="clear" w:color="auto" w:fill="FFFFFF"/>
        </w:rPr>
        <w:t>设</w:t>
      </w:r>
      <w:r w:rsidRPr="00FC53F0">
        <w:rPr>
          <w:rFonts w:asciiTheme="minorEastAsia" w:eastAsiaTheme="minorEastAsia" w:hAnsiTheme="minorEastAsia" w:hint="eastAsia"/>
          <w:position w:val="-10"/>
          <w:sz w:val="21"/>
          <w:szCs w:val="21"/>
          <w:shd w:val="clear" w:color="auto" w:fill="FFFFFF"/>
        </w:rPr>
        <w:object w:dxaOrig="1210" w:dyaOrig="350">
          <v:shape id="_x0000_i1045" type="#_x0000_t75" style="width:60.6pt;height:17.4pt" o:ole="">
            <v:imagedata r:id="rId48" o:title=""/>
          </v:shape>
          <o:OLEObject Type="Embed" ProgID="Equation.3" ShapeID="_x0000_i1045" DrawAspect="Content" ObjectID="_1686121854" r:id="rId49"/>
        </w:object>
      </w:r>
      <w:r w:rsidRPr="00FC53F0">
        <w:rPr>
          <w:rFonts w:asciiTheme="minorEastAsia" w:eastAsiaTheme="minorEastAsia" w:hAnsiTheme="minorEastAsia" w:hint="eastAsia"/>
          <w:position w:val="-4"/>
          <w:sz w:val="21"/>
          <w:szCs w:val="21"/>
          <w:shd w:val="clear" w:color="auto" w:fill="FFFFFF"/>
        </w:rPr>
        <w:t>的权重构成权重向量</w:t>
      </w:r>
      <w:r w:rsidRPr="00FC53F0">
        <w:rPr>
          <w:rFonts w:asciiTheme="minorEastAsia" w:eastAsiaTheme="minorEastAsia" w:hAnsiTheme="minorEastAsia" w:hint="eastAsia"/>
          <w:position w:val="-10"/>
          <w:sz w:val="21"/>
          <w:szCs w:val="21"/>
          <w:shd w:val="clear" w:color="auto" w:fill="FFFFFF"/>
        </w:rPr>
        <w:object w:dxaOrig="1880" w:dyaOrig="350">
          <v:shape id="_x0000_i1046" type="#_x0000_t75" style="width:94.2pt;height:17.4pt" o:ole="">
            <v:imagedata r:id="rId50" o:title=""/>
          </v:shape>
          <o:OLEObject Type="Embed" ProgID="Equation.3" ShapeID="_x0000_i1046" DrawAspect="Content" ObjectID="_1686121855" r:id="rId51"/>
        </w:object>
      </w:r>
      <w:r w:rsidRPr="00FC53F0">
        <w:rPr>
          <w:rFonts w:asciiTheme="minorEastAsia" w:eastAsiaTheme="minorEastAsia" w:hAnsiTheme="minorEastAsia" w:hint="eastAsia"/>
          <w:position w:val="-4"/>
          <w:sz w:val="21"/>
          <w:szCs w:val="21"/>
          <w:shd w:val="clear" w:color="auto" w:fill="FFFFFF"/>
        </w:rPr>
        <w:t>，则得到</w:t>
      </w:r>
      <w:r w:rsidRPr="00FC53F0">
        <w:rPr>
          <w:rFonts w:asciiTheme="minorEastAsia" w:eastAsiaTheme="minorEastAsia" w:hAnsiTheme="minorEastAsia" w:hint="eastAsia"/>
          <w:position w:val="-4"/>
          <w:sz w:val="21"/>
          <w:szCs w:val="21"/>
          <w:shd w:val="clear" w:color="auto" w:fill="FFFFFF"/>
        </w:rPr>
        <w:object w:dxaOrig="250" w:dyaOrig="250">
          <v:shape id="_x0000_i1047" type="#_x0000_t75" style="width:12.6pt;height:12.6pt" o:ole="">
            <v:imagedata r:id="rId21" o:title=""/>
          </v:shape>
          <o:OLEObject Type="Embed" ProgID="Equation.3" ShapeID="_x0000_i1047" DrawAspect="Content" ObjectID="_1686121856" r:id="rId52"/>
        </w:object>
      </w:r>
      <w:r w:rsidRPr="00FC53F0">
        <w:rPr>
          <w:rFonts w:asciiTheme="minorEastAsia" w:eastAsiaTheme="minorEastAsia" w:hAnsiTheme="minorEastAsia" w:hint="eastAsia"/>
          <w:position w:val="-4"/>
          <w:sz w:val="21"/>
          <w:szCs w:val="21"/>
          <w:shd w:val="clear" w:color="auto" w:fill="FFFFFF"/>
        </w:rPr>
        <w:t>的二级模糊综合评价结果为</w:t>
      </w:r>
      <w:r w:rsidRPr="00FC53F0">
        <w:rPr>
          <w:rFonts w:asciiTheme="minorEastAsia" w:eastAsiaTheme="minorEastAsia" w:hAnsiTheme="minorEastAsia" w:hint="eastAsia"/>
          <w:position w:val="-4"/>
          <w:sz w:val="21"/>
          <w:szCs w:val="21"/>
          <w:shd w:val="clear" w:color="auto" w:fill="FFFFFF"/>
        </w:rPr>
        <w:object w:dxaOrig="960" w:dyaOrig="250">
          <v:shape id="_x0000_i1048" type="#_x0000_t75" style="width:48pt;height:12.6pt" o:ole="">
            <v:imagedata r:id="rId53" o:title=""/>
          </v:shape>
          <o:OLEObject Type="Embed" ProgID="Equation.3" ShapeID="_x0000_i1048" DrawAspect="Content" ObjectID="_1686121857" r:id="rId54"/>
        </w:object>
      </w:r>
      <w:r w:rsidRPr="00FC53F0">
        <w:rPr>
          <w:rFonts w:asciiTheme="minorEastAsia" w:eastAsiaTheme="minorEastAsia" w:hAnsiTheme="minorEastAsia" w:hint="eastAsia"/>
          <w:position w:val="-4"/>
          <w:sz w:val="21"/>
          <w:szCs w:val="21"/>
          <w:shd w:val="clear" w:color="auto" w:fill="FFFFFF"/>
        </w:rPr>
        <w:t>。</w:t>
      </w:r>
    </w:p>
    <w:p w:rsidR="00F5516E" w:rsidRPr="00FC53F0" w:rsidRDefault="0071268E" w:rsidP="002021E2">
      <w:pPr>
        <w:spacing w:line="360" w:lineRule="auto"/>
        <w:rPr>
          <w:rFonts w:asciiTheme="minorEastAsia" w:eastAsiaTheme="minorEastAsia" w:hAnsiTheme="minorEastAsia"/>
          <w:b/>
          <w:bCs/>
          <w:sz w:val="21"/>
          <w:szCs w:val="21"/>
          <w:shd w:val="clear" w:color="auto" w:fill="FFFFFF"/>
        </w:rPr>
      </w:pPr>
      <w:r w:rsidRPr="00FC53F0">
        <w:rPr>
          <w:rFonts w:asciiTheme="minorEastAsia" w:eastAsiaTheme="minorEastAsia" w:hAnsiTheme="minorEastAsia"/>
          <w:b/>
          <w:bCs/>
          <w:sz w:val="21"/>
          <w:szCs w:val="21"/>
          <w:shd w:val="clear" w:color="auto" w:fill="FFFFFF"/>
        </w:rPr>
        <w:t xml:space="preserve">2.5 </w:t>
      </w:r>
      <w:r w:rsidRPr="00FC53F0">
        <w:rPr>
          <w:rFonts w:asciiTheme="minorEastAsia" w:eastAsiaTheme="minorEastAsia" w:hAnsiTheme="minorEastAsia" w:hint="eastAsia"/>
          <w:b/>
          <w:bCs/>
          <w:sz w:val="21"/>
          <w:szCs w:val="21"/>
          <w:shd w:val="clear" w:color="auto" w:fill="FFFFFF"/>
        </w:rPr>
        <w:t>集体建设用地基准地价的计算</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通过对皋兰县原有国有建设用地基准地价进行相应的期日、容积率、基础设施等相关修正，修正到此次集体建设用地基准地价内涵一致的情况下，得到相应集体建设用地级别的国有建设用地基准地价。在已有国有建设用地基准地价的区域，可直接通过用修正系数得到集体建设用地级别地价，</w:t>
      </w:r>
      <w:r w:rsidR="001F28DA" w:rsidRPr="00FC53F0">
        <w:rPr>
          <w:rFonts w:asciiTheme="minorEastAsia" w:eastAsiaTheme="minorEastAsia" w:hAnsiTheme="minorEastAsia" w:hint="eastAsia"/>
          <w:sz w:val="21"/>
          <w:szCs w:val="21"/>
          <w:shd w:val="clear" w:color="auto" w:fill="FFFFFF"/>
        </w:rPr>
        <w:t>公</w:t>
      </w:r>
      <w:r w:rsidRPr="00FC53F0">
        <w:rPr>
          <w:rFonts w:asciiTheme="minorEastAsia" w:eastAsiaTheme="minorEastAsia" w:hAnsiTheme="minorEastAsia"/>
          <w:sz w:val="21"/>
          <w:szCs w:val="21"/>
          <w:shd w:val="clear" w:color="auto" w:fill="FFFFFF"/>
        </w:rPr>
        <w:t>式为</w:t>
      </w:r>
      <w:r w:rsidR="001F28DA" w:rsidRPr="00FC53F0">
        <w:rPr>
          <w:rFonts w:asciiTheme="minorEastAsia" w:eastAsiaTheme="minorEastAsia" w:hAnsiTheme="minorEastAsia" w:hint="eastAsia"/>
          <w:sz w:val="21"/>
          <w:szCs w:val="21"/>
          <w:shd w:val="clear" w:color="auto" w:fill="FFFFFF"/>
        </w:rPr>
        <w:t>：</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 xml:space="preserve"> </w:t>
      </w:r>
      <w:r w:rsidRPr="00FC53F0">
        <w:rPr>
          <w:rFonts w:asciiTheme="minorEastAsia" w:eastAsiaTheme="minorEastAsia" w:hAnsiTheme="minorEastAsia"/>
          <w:position w:val="-16"/>
          <w:sz w:val="21"/>
          <w:szCs w:val="21"/>
          <w:shd w:val="clear" w:color="auto" w:fill="FFFFFF"/>
        </w:rPr>
        <w:object w:dxaOrig="1440" w:dyaOrig="400">
          <v:shape id="_x0000_i1049" type="#_x0000_t75" alt="" style="width:1in;height:19.8pt" o:ole="">
            <v:imagedata r:id="rId55" o:title=""/>
          </v:shape>
          <o:OLEObject Type="Embed" ProgID="Equation.3" ShapeID="_x0000_i1049" DrawAspect="Content" ObjectID="_1686121858" r:id="rId56"/>
        </w:object>
      </w:r>
      <w:r w:rsidRPr="00FC53F0">
        <w:rPr>
          <w:rFonts w:asciiTheme="minorEastAsia" w:eastAsiaTheme="minorEastAsia" w:hAnsiTheme="minorEastAsia"/>
          <w:sz w:val="21"/>
          <w:szCs w:val="21"/>
          <w:shd w:val="clear" w:color="auto" w:fill="FFFFFF"/>
        </w:rPr>
        <w:t xml:space="preserve">                              （2）</w:t>
      </w:r>
    </w:p>
    <w:p w:rsidR="00F5516E" w:rsidRPr="00FC53F0" w:rsidRDefault="0071268E" w:rsidP="00D00B0F">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式</w:t>
      </w:r>
      <w:r w:rsidR="001F28DA" w:rsidRPr="00FC53F0">
        <w:rPr>
          <w:rFonts w:asciiTheme="minorEastAsia" w:eastAsiaTheme="minorEastAsia" w:hAnsiTheme="minorEastAsia" w:hint="eastAsia"/>
          <w:sz w:val="21"/>
          <w:szCs w:val="21"/>
          <w:shd w:val="clear" w:color="auto" w:fill="FFFFFF"/>
        </w:rPr>
        <w:t>（2）</w:t>
      </w:r>
      <w:r w:rsidRPr="00FC53F0">
        <w:rPr>
          <w:rFonts w:asciiTheme="minorEastAsia" w:eastAsiaTheme="minorEastAsia" w:hAnsiTheme="minorEastAsia"/>
          <w:sz w:val="21"/>
          <w:szCs w:val="21"/>
          <w:shd w:val="clear" w:color="auto" w:fill="FFFFFF"/>
        </w:rPr>
        <w:t>中</w:t>
      </w:r>
      <w:r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position w:val="-16"/>
          <w:sz w:val="21"/>
          <w:szCs w:val="21"/>
          <w:shd w:val="clear" w:color="auto" w:fill="FFFFFF"/>
        </w:rPr>
        <w:object w:dxaOrig="400" w:dyaOrig="400">
          <v:shape id="_x0000_i1050" type="#_x0000_t75" style="width:19.8pt;height:19.8pt" o:ole="">
            <v:imagedata r:id="rId57" o:title=""/>
          </v:shape>
          <o:OLEObject Type="Embed" ProgID="Equation.3" ShapeID="_x0000_i1050" DrawAspect="Content" ObjectID="_1686121859" r:id="rId58"/>
        </w:object>
      </w:r>
      <w:r w:rsidR="00D00B0F" w:rsidRPr="00FC53F0">
        <w:rPr>
          <w:rFonts w:asciiTheme="minorEastAsia" w:eastAsiaTheme="minorEastAsia" w:hAnsiTheme="minorEastAsia" w:hint="eastAsia"/>
          <w:sz w:val="21"/>
          <w:szCs w:val="21"/>
          <w:shd w:val="clear" w:color="auto" w:fill="FFFFFF"/>
        </w:rPr>
        <w:t>为</w:t>
      </w:r>
      <w:r w:rsidRPr="00FC53F0">
        <w:rPr>
          <w:rFonts w:asciiTheme="minorEastAsia" w:eastAsiaTheme="minorEastAsia" w:hAnsiTheme="minorEastAsia"/>
          <w:sz w:val="21"/>
          <w:szCs w:val="21"/>
          <w:shd w:val="clear" w:color="auto" w:fill="FFFFFF"/>
        </w:rPr>
        <w:t>分用途集体建设用地级别基准地价；</w:t>
      </w:r>
      <w:r w:rsidRPr="00FC53F0">
        <w:rPr>
          <w:rFonts w:asciiTheme="minorEastAsia" w:eastAsiaTheme="minorEastAsia" w:hAnsiTheme="minorEastAsia"/>
          <w:position w:val="-16"/>
          <w:sz w:val="21"/>
          <w:szCs w:val="21"/>
          <w:shd w:val="clear" w:color="auto" w:fill="FFFFFF"/>
        </w:rPr>
        <w:object w:dxaOrig="400" w:dyaOrig="400">
          <v:shape id="_x0000_i1051" type="#_x0000_t75" style="width:19.8pt;height:19.8pt" o:ole="">
            <v:imagedata r:id="rId59" o:title=""/>
          </v:shape>
          <o:OLEObject Type="Embed" ProgID="Equation.3" ShapeID="_x0000_i1051" DrawAspect="Content" ObjectID="_1686121860" r:id="rId60"/>
        </w:object>
      </w:r>
      <w:r w:rsidR="00D00B0F" w:rsidRPr="00FC53F0">
        <w:rPr>
          <w:rFonts w:asciiTheme="minorEastAsia" w:eastAsiaTheme="minorEastAsia" w:hAnsiTheme="minorEastAsia" w:hint="eastAsia"/>
          <w:sz w:val="21"/>
          <w:szCs w:val="21"/>
          <w:shd w:val="clear" w:color="auto" w:fill="FFFFFF"/>
        </w:rPr>
        <w:t>为</w:t>
      </w:r>
      <w:r w:rsidRPr="00FC53F0">
        <w:rPr>
          <w:rFonts w:asciiTheme="minorEastAsia" w:eastAsiaTheme="minorEastAsia" w:hAnsiTheme="minorEastAsia"/>
          <w:sz w:val="21"/>
          <w:szCs w:val="21"/>
          <w:shd w:val="clear" w:color="auto" w:fill="FFFFFF"/>
        </w:rPr>
        <w:t>分用途国有建设用地级别基准地价；</w:t>
      </w:r>
      <w:r w:rsidRPr="00FC53F0">
        <w:rPr>
          <w:rFonts w:asciiTheme="minorEastAsia" w:eastAsiaTheme="minorEastAsia" w:hAnsiTheme="minorEastAsia"/>
          <w:position w:val="-6"/>
          <w:sz w:val="21"/>
          <w:szCs w:val="21"/>
          <w:shd w:val="clear" w:color="auto" w:fill="FFFFFF"/>
        </w:rPr>
        <w:object w:dxaOrig="310" w:dyaOrig="310">
          <v:shape id="_x0000_i1052" type="#_x0000_t75" style="width:15.6pt;height:15.6pt" o:ole="">
            <v:imagedata r:id="rId61" o:title=""/>
          </v:shape>
          <o:OLEObject Type="Embed" ProgID="Equation.3" ShapeID="_x0000_i1052" DrawAspect="Content" ObjectID="_1686121861" r:id="rId62"/>
        </w:object>
      </w:r>
      <w:r w:rsidR="00D00B0F" w:rsidRPr="00FC53F0">
        <w:rPr>
          <w:rFonts w:asciiTheme="minorEastAsia" w:eastAsiaTheme="minorEastAsia" w:hAnsiTheme="minorEastAsia" w:hint="eastAsia"/>
          <w:sz w:val="21"/>
          <w:szCs w:val="21"/>
          <w:shd w:val="clear" w:color="auto" w:fill="FFFFFF"/>
        </w:rPr>
        <w:t>为</w:t>
      </w:r>
      <w:r w:rsidRPr="00FC53F0">
        <w:rPr>
          <w:rFonts w:asciiTheme="minorEastAsia" w:eastAsiaTheme="minorEastAsia" w:hAnsiTheme="minorEastAsia"/>
          <w:sz w:val="21"/>
          <w:szCs w:val="21"/>
          <w:shd w:val="clear" w:color="auto" w:fill="FFFFFF"/>
        </w:rPr>
        <w:t>分用途集体建设用地权能修正系数。</w:t>
      </w:r>
    </w:p>
    <w:p w:rsidR="00F5516E" w:rsidRPr="00FC53F0" w:rsidRDefault="0071268E" w:rsidP="002021E2">
      <w:pPr>
        <w:spacing w:line="360" w:lineRule="auto"/>
        <w:rPr>
          <w:rFonts w:asciiTheme="minorEastAsia" w:eastAsiaTheme="minorEastAsia" w:hAnsiTheme="minorEastAsia"/>
          <w:b/>
          <w:bCs/>
          <w:sz w:val="28"/>
          <w:szCs w:val="28"/>
          <w:shd w:val="clear" w:color="auto" w:fill="FFFFFF"/>
        </w:rPr>
      </w:pPr>
      <w:r w:rsidRPr="00FC53F0">
        <w:rPr>
          <w:rFonts w:asciiTheme="minorEastAsia" w:eastAsiaTheme="minorEastAsia" w:hAnsiTheme="minorEastAsia"/>
          <w:b/>
          <w:bCs/>
          <w:sz w:val="28"/>
          <w:szCs w:val="28"/>
          <w:shd w:val="clear" w:color="auto" w:fill="FFFFFF"/>
        </w:rPr>
        <w:t xml:space="preserve">3 </w:t>
      </w:r>
      <w:r w:rsidR="002021E2" w:rsidRPr="00FC53F0">
        <w:rPr>
          <w:rFonts w:asciiTheme="minorEastAsia" w:eastAsiaTheme="minorEastAsia" w:hAnsiTheme="minorEastAsia" w:hint="eastAsia"/>
          <w:b/>
          <w:bCs/>
          <w:sz w:val="28"/>
          <w:szCs w:val="28"/>
          <w:shd w:val="clear" w:color="auto" w:fill="FFFFFF"/>
        </w:rPr>
        <w:t>研究</w:t>
      </w:r>
      <w:r w:rsidRPr="00FC53F0">
        <w:rPr>
          <w:rFonts w:asciiTheme="minorEastAsia" w:eastAsiaTheme="minorEastAsia" w:hAnsiTheme="minorEastAsia"/>
          <w:b/>
          <w:bCs/>
          <w:sz w:val="28"/>
          <w:szCs w:val="28"/>
          <w:shd w:val="clear" w:color="auto" w:fill="FFFFFF"/>
        </w:rPr>
        <w:t>结果</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（1）由表1和式</w:t>
      </w:r>
      <w:r w:rsidR="001F28DA" w:rsidRPr="00FC53F0">
        <w:rPr>
          <w:rFonts w:asciiTheme="minorEastAsia" w:eastAsiaTheme="minorEastAsia" w:hAnsiTheme="minorEastAsia" w:hint="eastAsia"/>
          <w:sz w:val="21"/>
          <w:szCs w:val="21"/>
          <w:shd w:val="clear" w:color="auto" w:fill="FFFFFF"/>
        </w:rPr>
        <w:t>（1）</w:t>
      </w:r>
      <w:r w:rsidRPr="00FC53F0">
        <w:rPr>
          <w:rFonts w:asciiTheme="minorEastAsia" w:eastAsiaTheme="minorEastAsia" w:hAnsiTheme="minorEastAsia"/>
          <w:sz w:val="21"/>
          <w:szCs w:val="21"/>
          <w:shd w:val="clear" w:color="auto" w:fill="FFFFFF"/>
        </w:rPr>
        <w:t>计算可得，</w:t>
      </w:r>
      <w:bookmarkStart w:id="5" w:name="_Hlk48903520"/>
      <w:r w:rsidRPr="00FC53F0">
        <w:rPr>
          <w:rFonts w:asciiTheme="minorEastAsia" w:eastAsiaTheme="minorEastAsia" w:hAnsiTheme="minorEastAsia"/>
          <w:sz w:val="21"/>
          <w:szCs w:val="21"/>
          <w:shd w:val="clear" w:color="auto" w:fill="FFFFFF"/>
        </w:rPr>
        <w:t>皋兰</w:t>
      </w:r>
      <w:proofErr w:type="gramStart"/>
      <w:r w:rsidRPr="00FC53F0">
        <w:rPr>
          <w:rFonts w:asciiTheme="minorEastAsia" w:eastAsiaTheme="minorEastAsia" w:hAnsiTheme="minorEastAsia"/>
          <w:sz w:val="21"/>
          <w:szCs w:val="21"/>
          <w:shd w:val="clear" w:color="auto" w:fill="FFFFFF"/>
        </w:rPr>
        <w:t>县集体</w:t>
      </w:r>
      <w:proofErr w:type="gramEnd"/>
      <w:r w:rsidRPr="00FC53F0">
        <w:rPr>
          <w:rFonts w:asciiTheme="minorEastAsia" w:eastAsiaTheme="minorEastAsia" w:hAnsiTheme="minorEastAsia"/>
          <w:sz w:val="21"/>
          <w:szCs w:val="21"/>
          <w:shd w:val="clear" w:color="auto" w:fill="FFFFFF"/>
        </w:rPr>
        <w:t>建设用地工矿仓储用地权能修正系数为68.61%，集体建设用地商服用地权能修正系数为78.47%</w:t>
      </w:r>
      <w:bookmarkEnd w:id="5"/>
      <w:r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hint="eastAsia"/>
          <w:sz w:val="21"/>
          <w:szCs w:val="21"/>
          <w:shd w:val="clear" w:color="auto" w:fill="FFFFFF"/>
        </w:rPr>
        <w:t>用特尔斐法确定的权能修正系数反映了人的主观预期，即人们对集体建设用地</w:t>
      </w:r>
      <w:r w:rsidR="001F28DA" w:rsidRPr="00FC53F0">
        <w:rPr>
          <w:rFonts w:asciiTheme="minorEastAsia" w:eastAsiaTheme="minorEastAsia" w:hAnsiTheme="minorEastAsia" w:hint="eastAsia"/>
          <w:sz w:val="21"/>
          <w:szCs w:val="21"/>
          <w:shd w:val="clear" w:color="auto" w:fill="FFFFFF"/>
        </w:rPr>
        <w:t>中</w:t>
      </w:r>
      <w:r w:rsidRPr="00FC53F0">
        <w:rPr>
          <w:rFonts w:asciiTheme="minorEastAsia" w:eastAsiaTheme="minorEastAsia" w:hAnsiTheme="minorEastAsia" w:hint="eastAsia"/>
          <w:sz w:val="21"/>
          <w:szCs w:val="21"/>
          <w:shd w:val="clear" w:color="auto" w:fill="FFFFFF"/>
        </w:rPr>
        <w:t>工矿仓储用地和商服用地的心理预期是多少，则打分就为多少。</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（2）模糊综合评价</w:t>
      </w:r>
      <w:proofErr w:type="gramStart"/>
      <w:r w:rsidRPr="00FC53F0">
        <w:rPr>
          <w:rFonts w:asciiTheme="minorEastAsia" w:eastAsiaTheme="minorEastAsia" w:hAnsiTheme="minorEastAsia" w:hint="eastAsia"/>
          <w:sz w:val="21"/>
          <w:szCs w:val="21"/>
          <w:shd w:val="clear" w:color="auto" w:fill="FFFFFF"/>
        </w:rPr>
        <w:t>法最终</w:t>
      </w:r>
      <w:proofErr w:type="gramEnd"/>
      <w:r w:rsidRPr="00FC53F0">
        <w:rPr>
          <w:rFonts w:asciiTheme="minorEastAsia" w:eastAsiaTheme="minorEastAsia" w:hAnsiTheme="minorEastAsia" w:hint="eastAsia"/>
          <w:sz w:val="21"/>
          <w:szCs w:val="21"/>
          <w:shd w:val="clear" w:color="auto" w:fill="FFFFFF"/>
        </w:rPr>
        <w:t>求得</w:t>
      </w:r>
      <w:r w:rsidRPr="00FC53F0">
        <w:rPr>
          <w:rFonts w:asciiTheme="minorEastAsia" w:eastAsiaTheme="minorEastAsia" w:hAnsiTheme="minorEastAsia" w:hint="eastAsia"/>
          <w:position w:val="-10"/>
          <w:sz w:val="21"/>
          <w:szCs w:val="21"/>
          <w:shd w:val="clear" w:color="auto" w:fill="FFFFFF"/>
        </w:rPr>
        <w:object w:dxaOrig="2700" w:dyaOrig="350">
          <v:shape id="_x0000_i1053" type="#_x0000_t75" style="width:135pt;height:17.4pt" o:ole="">
            <v:imagedata r:id="rId63" o:title=""/>
          </v:shape>
          <o:OLEObject Type="Embed" ProgID="Equation.3" ShapeID="_x0000_i1053" DrawAspect="Content" ObjectID="_1686121862" r:id="rId64"/>
        </w:object>
      </w:r>
      <w:r w:rsidRPr="00FC53F0">
        <w:rPr>
          <w:rFonts w:asciiTheme="minorEastAsia" w:eastAsiaTheme="minorEastAsia" w:hAnsiTheme="minorEastAsia" w:hint="eastAsia"/>
          <w:sz w:val="21"/>
          <w:szCs w:val="21"/>
          <w:shd w:val="clear" w:color="auto" w:fill="FFFFFF"/>
        </w:rPr>
        <w:t>。为了使结果更为规范，进行归一化梳理后得到</w:t>
      </w:r>
      <w:r w:rsidRPr="00FC53F0">
        <w:rPr>
          <w:rFonts w:asciiTheme="minorEastAsia" w:eastAsiaTheme="minorEastAsia" w:hAnsiTheme="minorEastAsia" w:hint="eastAsia"/>
          <w:position w:val="-10"/>
          <w:sz w:val="21"/>
          <w:szCs w:val="21"/>
          <w:shd w:val="clear" w:color="auto" w:fill="FFFFFF"/>
        </w:rPr>
        <w:object w:dxaOrig="3130" w:dyaOrig="360">
          <v:shape id="_x0000_i1054" type="#_x0000_t75" style="width:156.6pt;height:18pt" o:ole="">
            <v:imagedata r:id="rId65" o:title=""/>
          </v:shape>
          <o:OLEObject Type="Embed" ProgID="Equation.3" ShapeID="_x0000_i1054" DrawAspect="Content" ObjectID="_1686121863" r:id="rId66"/>
        </w:object>
      </w:r>
      <w:r w:rsidRPr="00FC53F0">
        <w:rPr>
          <w:rFonts w:asciiTheme="minorEastAsia" w:eastAsiaTheme="minorEastAsia" w:hAnsiTheme="minorEastAsia" w:hint="eastAsia"/>
          <w:sz w:val="21"/>
          <w:szCs w:val="21"/>
          <w:shd w:val="clear" w:color="auto" w:fill="FFFFFF"/>
        </w:rPr>
        <w:t>。由此结果可以看</w:t>
      </w:r>
      <w:r w:rsidR="001F28DA" w:rsidRPr="00FC53F0">
        <w:rPr>
          <w:rFonts w:asciiTheme="minorEastAsia" w:eastAsiaTheme="minorEastAsia" w:hAnsiTheme="minorEastAsia" w:hint="eastAsia"/>
          <w:sz w:val="21"/>
          <w:szCs w:val="21"/>
          <w:shd w:val="clear" w:color="auto" w:fill="FFFFFF"/>
        </w:rPr>
        <w:t>出，上述权能修正系数准确性程度为“准确”“较准确”“一般”</w:t>
      </w:r>
      <w:r w:rsidRPr="00FC53F0">
        <w:rPr>
          <w:rFonts w:asciiTheme="minorEastAsia" w:eastAsiaTheme="minorEastAsia" w:hAnsiTheme="minorEastAsia" w:hint="eastAsia"/>
          <w:sz w:val="21"/>
          <w:szCs w:val="21"/>
          <w:shd w:val="clear" w:color="auto" w:fill="FFFFFF"/>
        </w:rPr>
        <w:t>“不准确”的</w:t>
      </w:r>
      <w:r w:rsidR="001F28DA" w:rsidRPr="00FC53F0">
        <w:rPr>
          <w:rFonts w:asciiTheme="minorEastAsia" w:eastAsiaTheme="minorEastAsia" w:hAnsiTheme="minorEastAsia" w:hint="eastAsia"/>
          <w:sz w:val="21"/>
          <w:szCs w:val="21"/>
          <w:shd w:val="clear" w:color="auto" w:fill="FFFFFF"/>
        </w:rPr>
        <w:t>结果</w:t>
      </w:r>
      <w:r w:rsidRPr="00FC53F0">
        <w:rPr>
          <w:rFonts w:asciiTheme="minorEastAsia" w:eastAsiaTheme="minorEastAsia" w:hAnsiTheme="minorEastAsia" w:hint="eastAsia"/>
          <w:sz w:val="21"/>
          <w:szCs w:val="21"/>
          <w:shd w:val="clear" w:color="auto" w:fill="FFFFFF"/>
        </w:rPr>
        <w:t>依次为0.3275、0.3275、0.23、0.115。根据最大隶属度原则，该权能修正系数的准确性综合度为“准确”或“较准确”。</w:t>
      </w:r>
    </w:p>
    <w:p w:rsidR="00F5516E" w:rsidRPr="00FC53F0" w:rsidRDefault="0071268E" w:rsidP="00026C6C">
      <w:pPr>
        <w:spacing w:after="240"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（3）在土地均质区域划分过程中，将皋兰县国有建设用地与集体建设用地均分为四级</w:t>
      </w:r>
      <w:r w:rsidRPr="00FC53F0">
        <w:rPr>
          <w:rFonts w:asciiTheme="minorEastAsia" w:eastAsiaTheme="minorEastAsia" w:hAnsiTheme="minorEastAsia" w:hint="eastAsia"/>
          <w:sz w:val="21"/>
          <w:szCs w:val="21"/>
          <w:shd w:val="clear" w:color="auto" w:fill="FFFFFF"/>
        </w:rPr>
        <w:t>，</w:t>
      </w:r>
      <w:r w:rsidR="001F28DA" w:rsidRPr="00FC53F0">
        <w:rPr>
          <w:rFonts w:asciiTheme="minorEastAsia" w:eastAsiaTheme="minorEastAsia" w:hAnsiTheme="minorEastAsia"/>
          <w:sz w:val="21"/>
          <w:szCs w:val="21"/>
          <w:shd w:val="clear" w:color="auto" w:fill="FFFFFF"/>
        </w:rPr>
        <w:t>其修正后的结果如</w:t>
      </w:r>
      <w:r w:rsidRPr="00FC53F0">
        <w:rPr>
          <w:rFonts w:asciiTheme="minorEastAsia" w:eastAsiaTheme="minorEastAsia" w:hAnsiTheme="minorEastAsia"/>
          <w:sz w:val="21"/>
          <w:szCs w:val="21"/>
          <w:shd w:val="clear" w:color="auto" w:fill="FFFFFF"/>
        </w:rPr>
        <w:t>表</w:t>
      </w:r>
      <w:r w:rsidR="001F28DA" w:rsidRPr="00FC53F0">
        <w:rPr>
          <w:rFonts w:asciiTheme="minorEastAsia" w:eastAsiaTheme="minorEastAsia" w:hAnsiTheme="minorEastAsia"/>
          <w:sz w:val="21"/>
          <w:szCs w:val="21"/>
          <w:shd w:val="clear" w:color="auto" w:fill="FFFFFF"/>
        </w:rPr>
        <w:t>3</w:t>
      </w:r>
      <w:r w:rsidRPr="00FC53F0">
        <w:rPr>
          <w:rFonts w:asciiTheme="minorEastAsia" w:eastAsiaTheme="minorEastAsia" w:hAnsiTheme="minorEastAsia"/>
          <w:sz w:val="21"/>
          <w:szCs w:val="21"/>
          <w:shd w:val="clear" w:color="auto" w:fill="FFFFFF"/>
        </w:rPr>
        <w:t>所示</w:t>
      </w:r>
      <w:r w:rsidR="00D00B0F" w:rsidRPr="00FC53F0">
        <w:rPr>
          <w:rFonts w:asciiTheme="minorEastAsia" w:eastAsiaTheme="minorEastAsia" w:hAnsiTheme="minorEastAsia" w:hint="eastAsia"/>
          <w:sz w:val="21"/>
          <w:szCs w:val="21"/>
          <w:shd w:val="clear" w:color="auto" w:fill="FFFFFF"/>
        </w:rPr>
        <w:t>。</w:t>
      </w:r>
    </w:p>
    <w:tbl>
      <w:tblPr>
        <w:tblStyle w:val="af2"/>
        <w:tblpPr w:leftFromText="180" w:rightFromText="180" w:vertAnchor="text" w:horzAnchor="margin" w:tblpY="7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19"/>
        <w:gridCol w:w="917"/>
        <w:gridCol w:w="917"/>
        <w:gridCol w:w="917"/>
        <w:gridCol w:w="917"/>
      </w:tblGrid>
      <w:tr w:rsidR="00FC53F0" w:rsidRPr="00FC53F0">
        <w:tc>
          <w:tcPr>
            <w:tcW w:w="5000" w:type="pct"/>
            <w:gridSpan w:val="6"/>
            <w:tcBorders>
              <w:bottom w:val="single" w:sz="8" w:space="0" w:color="auto"/>
            </w:tcBorders>
            <w:vAlign w:val="center"/>
          </w:tcPr>
          <w:p w:rsidR="00F5516E" w:rsidRPr="00FC53F0" w:rsidRDefault="001F28DA" w:rsidP="001F28DA">
            <w:pPr>
              <w:spacing w:line="288" w:lineRule="auto"/>
              <w:jc w:val="center"/>
              <w:rPr>
                <w:rFonts w:asciiTheme="minorEastAsia" w:hAnsiTheme="minorEastAsia"/>
                <w:b/>
                <w:szCs w:val="21"/>
                <w:shd w:val="clear" w:color="auto" w:fill="FFFFFF"/>
              </w:rPr>
            </w:pPr>
            <w:r w:rsidRPr="00FC53F0">
              <w:rPr>
                <w:rFonts w:asciiTheme="minorEastAsia" w:hAnsiTheme="minorEastAsia" w:hint="eastAsia"/>
                <w:b/>
                <w:szCs w:val="21"/>
                <w:shd w:val="clear" w:color="auto" w:fill="FFFFFF"/>
              </w:rPr>
              <w:t xml:space="preserve"> </w:t>
            </w:r>
            <w:r w:rsidRPr="00FC53F0">
              <w:rPr>
                <w:rFonts w:asciiTheme="minorEastAsia" w:hAnsiTheme="minorEastAsia"/>
                <w:b/>
                <w:szCs w:val="21"/>
                <w:shd w:val="clear" w:color="auto" w:fill="FFFFFF"/>
              </w:rPr>
              <w:t xml:space="preserve">          </w:t>
            </w:r>
            <w:r w:rsidR="0071268E" w:rsidRPr="00FC53F0">
              <w:rPr>
                <w:rFonts w:asciiTheme="minorEastAsia" w:hAnsiTheme="minorEastAsia" w:hint="eastAsia"/>
                <w:b/>
                <w:szCs w:val="21"/>
                <w:shd w:val="clear" w:color="auto" w:fill="FFFFFF"/>
              </w:rPr>
              <w:t>表</w:t>
            </w:r>
            <w:r w:rsidRPr="00FC53F0">
              <w:rPr>
                <w:rFonts w:asciiTheme="minorEastAsia" w:hAnsiTheme="minorEastAsia"/>
                <w:b/>
                <w:szCs w:val="21"/>
                <w:shd w:val="clear" w:color="auto" w:fill="FFFFFF"/>
              </w:rPr>
              <w:t>3</w:t>
            </w:r>
            <w:r w:rsidR="00026C6C" w:rsidRPr="00FC53F0">
              <w:rPr>
                <w:rFonts w:asciiTheme="minorEastAsia" w:hAnsiTheme="minorEastAsia"/>
                <w:b/>
                <w:szCs w:val="21"/>
                <w:shd w:val="clear" w:color="auto" w:fill="FFFFFF"/>
              </w:rPr>
              <w:t xml:space="preserve"> </w:t>
            </w:r>
            <w:r w:rsidR="0071268E" w:rsidRPr="00FC53F0">
              <w:rPr>
                <w:rFonts w:asciiTheme="minorEastAsia" w:hAnsiTheme="minorEastAsia" w:hint="eastAsia"/>
                <w:b/>
                <w:szCs w:val="21"/>
                <w:shd w:val="clear" w:color="auto" w:fill="FFFFFF"/>
              </w:rPr>
              <w:t>皋兰</w:t>
            </w:r>
            <w:proofErr w:type="gramStart"/>
            <w:r w:rsidR="0071268E" w:rsidRPr="00FC53F0">
              <w:rPr>
                <w:rFonts w:asciiTheme="minorEastAsia" w:hAnsiTheme="minorEastAsia" w:hint="eastAsia"/>
                <w:b/>
                <w:szCs w:val="21"/>
                <w:shd w:val="clear" w:color="auto" w:fill="FFFFFF"/>
              </w:rPr>
              <w:t>县集体</w:t>
            </w:r>
            <w:proofErr w:type="gramEnd"/>
            <w:r w:rsidR="0071268E" w:rsidRPr="00FC53F0">
              <w:rPr>
                <w:rFonts w:asciiTheme="minorEastAsia" w:hAnsiTheme="minorEastAsia" w:hint="eastAsia"/>
                <w:b/>
                <w:szCs w:val="21"/>
                <w:shd w:val="clear" w:color="auto" w:fill="FFFFFF"/>
              </w:rPr>
              <w:t>建设用地分级别基准地价评估结果表</w:t>
            </w:r>
            <w:r w:rsidRPr="00FC53F0">
              <w:rPr>
                <w:rFonts w:asciiTheme="minorEastAsia" w:hAnsiTheme="minorEastAsia" w:hint="eastAsia"/>
                <w:b/>
                <w:szCs w:val="21"/>
                <w:shd w:val="clear" w:color="auto" w:fill="FFFFFF"/>
              </w:rPr>
              <w:t xml:space="preserve"> </w:t>
            </w:r>
            <w:r w:rsidRPr="00FC53F0">
              <w:rPr>
                <w:rFonts w:asciiTheme="minorEastAsia" w:hAnsiTheme="minorEastAsia"/>
                <w:b/>
                <w:szCs w:val="21"/>
                <w:shd w:val="clear" w:color="auto" w:fill="FFFFFF"/>
              </w:rPr>
              <w:t xml:space="preserve">     </w:t>
            </w:r>
            <w:r w:rsidR="0071268E" w:rsidRPr="00FC53F0">
              <w:rPr>
                <w:rFonts w:asciiTheme="minorEastAsia" w:hAnsiTheme="minorEastAsia" w:hint="eastAsia"/>
                <w:b/>
                <w:szCs w:val="21"/>
                <w:shd w:val="clear" w:color="auto" w:fill="FFFFFF"/>
              </w:rPr>
              <w:t>单位：元/</w:t>
            </w:r>
            <w:r w:rsidR="0071268E" w:rsidRPr="00FC53F0">
              <w:rPr>
                <w:rFonts w:asciiTheme="minorEastAsia" w:hAnsiTheme="minorEastAsia"/>
                <w:b/>
                <w:szCs w:val="21"/>
                <w:shd w:val="clear" w:color="auto" w:fill="FFFFFF"/>
              </w:rPr>
              <w:t>m</w:t>
            </w:r>
            <w:r w:rsidR="0071268E" w:rsidRPr="00FC53F0">
              <w:rPr>
                <w:rFonts w:asciiTheme="minorEastAsia" w:hAnsiTheme="minorEastAsia"/>
                <w:b/>
                <w:szCs w:val="21"/>
                <w:shd w:val="clear" w:color="auto" w:fill="FFFFFF"/>
                <w:vertAlign w:val="superscript"/>
              </w:rPr>
              <w:t>2</w:t>
            </w:r>
          </w:p>
        </w:tc>
      </w:tr>
      <w:tr w:rsidR="00FC53F0" w:rsidRPr="00FC53F0">
        <w:tc>
          <w:tcPr>
            <w:tcW w:w="1396" w:type="pct"/>
            <w:tcBorders>
              <w:top w:val="single" w:sz="8" w:space="0" w:color="auto"/>
              <w:bottom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hint="eastAsia"/>
                <w:sz w:val="15"/>
                <w:szCs w:val="15"/>
                <w:shd w:val="clear" w:color="auto" w:fill="FFFFFF"/>
              </w:rPr>
              <w:lastRenderedPageBreak/>
              <w:t>类型</w:t>
            </w:r>
          </w:p>
        </w:tc>
        <w:tc>
          <w:tcPr>
            <w:tcW w:w="1396" w:type="pct"/>
            <w:tcBorders>
              <w:top w:val="single" w:sz="8" w:space="0" w:color="auto"/>
              <w:bottom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hint="eastAsia"/>
                <w:sz w:val="15"/>
                <w:szCs w:val="15"/>
                <w:shd w:val="clear" w:color="auto" w:fill="FFFFFF"/>
              </w:rPr>
              <w:t>权属关系</w:t>
            </w:r>
          </w:p>
        </w:tc>
        <w:tc>
          <w:tcPr>
            <w:tcW w:w="552" w:type="pct"/>
            <w:tcBorders>
              <w:top w:val="single" w:sz="8" w:space="0" w:color="auto"/>
              <w:bottom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rPr>
              <w:t>Ⅰ</w:t>
            </w:r>
            <w:r w:rsidRPr="00FC53F0">
              <w:rPr>
                <w:rFonts w:ascii="Times New Roman" w:hAnsi="Times New Roman" w:hint="eastAsia"/>
                <w:sz w:val="15"/>
                <w:szCs w:val="15"/>
              </w:rPr>
              <w:t>级</w:t>
            </w:r>
          </w:p>
        </w:tc>
        <w:tc>
          <w:tcPr>
            <w:tcW w:w="552" w:type="pct"/>
            <w:tcBorders>
              <w:top w:val="single" w:sz="8" w:space="0" w:color="auto"/>
              <w:bottom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rPr>
              <w:t>Ⅱ</w:t>
            </w:r>
            <w:r w:rsidRPr="00FC53F0">
              <w:rPr>
                <w:rFonts w:ascii="Times New Roman" w:hAnsi="Times New Roman" w:hint="eastAsia"/>
                <w:sz w:val="15"/>
                <w:szCs w:val="15"/>
              </w:rPr>
              <w:t>级</w:t>
            </w:r>
          </w:p>
        </w:tc>
        <w:tc>
          <w:tcPr>
            <w:tcW w:w="552" w:type="pct"/>
            <w:tcBorders>
              <w:top w:val="single" w:sz="8" w:space="0" w:color="auto"/>
              <w:bottom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rPr>
              <w:t>Ⅲ</w:t>
            </w:r>
            <w:r w:rsidRPr="00FC53F0">
              <w:rPr>
                <w:rFonts w:ascii="Times New Roman" w:hAnsi="Times New Roman" w:hint="eastAsia"/>
                <w:sz w:val="15"/>
                <w:szCs w:val="15"/>
              </w:rPr>
              <w:t>级</w:t>
            </w:r>
          </w:p>
        </w:tc>
        <w:tc>
          <w:tcPr>
            <w:tcW w:w="552" w:type="pct"/>
            <w:tcBorders>
              <w:top w:val="single" w:sz="8" w:space="0" w:color="auto"/>
              <w:bottom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rPr>
              <w:t>Ⅳ</w:t>
            </w:r>
            <w:r w:rsidRPr="00FC53F0">
              <w:rPr>
                <w:rFonts w:ascii="Times New Roman" w:hAnsi="Times New Roman" w:hint="eastAsia"/>
                <w:sz w:val="15"/>
                <w:szCs w:val="15"/>
              </w:rPr>
              <w:t>级</w:t>
            </w:r>
          </w:p>
        </w:tc>
      </w:tr>
      <w:tr w:rsidR="00FC53F0" w:rsidRPr="00FC53F0">
        <w:tc>
          <w:tcPr>
            <w:tcW w:w="1396" w:type="pct"/>
            <w:vMerge w:val="restart"/>
            <w:tcBorders>
              <w:top w:val="single" w:sz="4" w:space="0" w:color="auto"/>
            </w:tcBorders>
            <w:vAlign w:val="center"/>
          </w:tcPr>
          <w:p w:rsidR="00F5516E" w:rsidRPr="00FC53F0" w:rsidRDefault="0071268E">
            <w:pPr>
              <w:spacing w:line="288" w:lineRule="auto"/>
              <w:jc w:val="center"/>
              <w:rPr>
                <w:rFonts w:ascii="Times New Roman" w:hAnsi="Times New Roman"/>
                <w:sz w:val="15"/>
                <w:szCs w:val="15"/>
                <w:shd w:val="clear" w:color="auto" w:fill="FFFFFF"/>
              </w:rPr>
            </w:pPr>
            <w:r w:rsidRPr="00FC53F0">
              <w:rPr>
                <w:rFonts w:ascii="Times New Roman" w:hAnsi="Times New Roman"/>
                <w:sz w:val="15"/>
                <w:szCs w:val="15"/>
                <w:shd w:val="clear" w:color="auto" w:fill="FFFFFF"/>
              </w:rPr>
              <w:t>商服用地</w:t>
            </w:r>
          </w:p>
        </w:tc>
        <w:tc>
          <w:tcPr>
            <w:tcW w:w="1396" w:type="pct"/>
            <w:tcBorders>
              <w:top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国有</w:t>
            </w:r>
            <w:r w:rsidRPr="00FC53F0">
              <w:rPr>
                <w:rFonts w:ascii="Times New Roman" w:hAnsi="Times New Roman" w:hint="eastAsia"/>
                <w:sz w:val="15"/>
                <w:szCs w:val="15"/>
                <w:shd w:val="clear" w:color="auto" w:fill="FFFFFF"/>
              </w:rPr>
              <w:t>建设用地</w:t>
            </w:r>
          </w:p>
        </w:tc>
        <w:tc>
          <w:tcPr>
            <w:tcW w:w="552" w:type="pct"/>
            <w:tcBorders>
              <w:top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261</w:t>
            </w:r>
          </w:p>
        </w:tc>
        <w:tc>
          <w:tcPr>
            <w:tcW w:w="552" w:type="pct"/>
            <w:tcBorders>
              <w:top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230</w:t>
            </w:r>
          </w:p>
        </w:tc>
        <w:tc>
          <w:tcPr>
            <w:tcW w:w="552" w:type="pct"/>
            <w:tcBorders>
              <w:top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206</w:t>
            </w:r>
          </w:p>
        </w:tc>
        <w:tc>
          <w:tcPr>
            <w:tcW w:w="552" w:type="pct"/>
            <w:tcBorders>
              <w:top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171</w:t>
            </w:r>
          </w:p>
        </w:tc>
      </w:tr>
      <w:tr w:rsidR="00FC53F0" w:rsidRPr="00FC53F0">
        <w:tc>
          <w:tcPr>
            <w:tcW w:w="1396" w:type="pct"/>
            <w:vMerge/>
            <w:tcBorders>
              <w:bottom w:val="single" w:sz="4" w:space="0" w:color="auto"/>
            </w:tcBorders>
            <w:vAlign w:val="center"/>
          </w:tcPr>
          <w:p w:rsidR="00F5516E" w:rsidRPr="00FC53F0" w:rsidRDefault="00F5516E">
            <w:pPr>
              <w:spacing w:line="288" w:lineRule="auto"/>
              <w:rPr>
                <w:rFonts w:ascii="Times New Roman" w:hAnsi="Times New Roman"/>
                <w:szCs w:val="21"/>
                <w:shd w:val="clear" w:color="auto" w:fill="FFFFFF"/>
              </w:rPr>
            </w:pPr>
          </w:p>
        </w:tc>
        <w:tc>
          <w:tcPr>
            <w:tcW w:w="1396" w:type="pct"/>
            <w:tcBorders>
              <w:bottom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集体</w:t>
            </w:r>
            <w:r w:rsidRPr="00FC53F0">
              <w:rPr>
                <w:rFonts w:ascii="Times New Roman" w:hAnsi="Times New Roman" w:hint="eastAsia"/>
                <w:sz w:val="15"/>
                <w:szCs w:val="15"/>
                <w:shd w:val="clear" w:color="auto" w:fill="FFFFFF"/>
              </w:rPr>
              <w:t>建设用地</w:t>
            </w:r>
          </w:p>
        </w:tc>
        <w:tc>
          <w:tcPr>
            <w:tcW w:w="552" w:type="pct"/>
            <w:tcBorders>
              <w:bottom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205</w:t>
            </w:r>
          </w:p>
        </w:tc>
        <w:tc>
          <w:tcPr>
            <w:tcW w:w="552" w:type="pct"/>
            <w:tcBorders>
              <w:bottom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180</w:t>
            </w:r>
          </w:p>
        </w:tc>
        <w:tc>
          <w:tcPr>
            <w:tcW w:w="552" w:type="pct"/>
            <w:tcBorders>
              <w:bottom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162</w:t>
            </w:r>
          </w:p>
        </w:tc>
        <w:tc>
          <w:tcPr>
            <w:tcW w:w="552" w:type="pct"/>
            <w:tcBorders>
              <w:bottom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134</w:t>
            </w:r>
          </w:p>
        </w:tc>
      </w:tr>
      <w:tr w:rsidR="00FC53F0" w:rsidRPr="00FC53F0">
        <w:tc>
          <w:tcPr>
            <w:tcW w:w="1396" w:type="pct"/>
            <w:vMerge w:val="restart"/>
            <w:tcBorders>
              <w:top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工矿仓储用地</w:t>
            </w:r>
          </w:p>
        </w:tc>
        <w:tc>
          <w:tcPr>
            <w:tcW w:w="1396" w:type="pct"/>
            <w:tcBorders>
              <w:top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国有</w:t>
            </w:r>
            <w:r w:rsidRPr="00FC53F0">
              <w:rPr>
                <w:rFonts w:ascii="Times New Roman" w:hAnsi="Times New Roman" w:hint="eastAsia"/>
                <w:sz w:val="15"/>
                <w:szCs w:val="15"/>
                <w:shd w:val="clear" w:color="auto" w:fill="FFFFFF"/>
              </w:rPr>
              <w:t>建设用地</w:t>
            </w:r>
          </w:p>
        </w:tc>
        <w:tc>
          <w:tcPr>
            <w:tcW w:w="552" w:type="pct"/>
            <w:tcBorders>
              <w:top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160</w:t>
            </w:r>
          </w:p>
        </w:tc>
        <w:tc>
          <w:tcPr>
            <w:tcW w:w="552" w:type="pct"/>
            <w:tcBorders>
              <w:top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136</w:t>
            </w:r>
          </w:p>
        </w:tc>
        <w:tc>
          <w:tcPr>
            <w:tcW w:w="552" w:type="pct"/>
            <w:tcBorders>
              <w:top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129</w:t>
            </w:r>
          </w:p>
        </w:tc>
        <w:tc>
          <w:tcPr>
            <w:tcW w:w="552" w:type="pct"/>
            <w:tcBorders>
              <w:top w:val="single" w:sz="4"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106</w:t>
            </w:r>
          </w:p>
        </w:tc>
      </w:tr>
      <w:tr w:rsidR="00FC53F0" w:rsidRPr="00FC53F0">
        <w:tc>
          <w:tcPr>
            <w:tcW w:w="1396" w:type="pct"/>
            <w:vMerge/>
            <w:tcBorders>
              <w:bottom w:val="single" w:sz="8" w:space="0" w:color="auto"/>
            </w:tcBorders>
            <w:vAlign w:val="center"/>
          </w:tcPr>
          <w:p w:rsidR="00F5516E" w:rsidRPr="00FC53F0" w:rsidRDefault="00F5516E">
            <w:pPr>
              <w:spacing w:line="288" w:lineRule="auto"/>
              <w:rPr>
                <w:rFonts w:ascii="Times New Roman" w:hAnsi="Times New Roman"/>
                <w:szCs w:val="21"/>
                <w:shd w:val="clear" w:color="auto" w:fill="FFFFFF"/>
              </w:rPr>
            </w:pPr>
          </w:p>
        </w:tc>
        <w:tc>
          <w:tcPr>
            <w:tcW w:w="1396" w:type="pct"/>
            <w:tcBorders>
              <w:bottom w:val="single" w:sz="8"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集体</w:t>
            </w:r>
            <w:r w:rsidRPr="00FC53F0">
              <w:rPr>
                <w:rFonts w:ascii="Times New Roman" w:hAnsi="Times New Roman" w:hint="eastAsia"/>
                <w:sz w:val="15"/>
                <w:szCs w:val="15"/>
                <w:shd w:val="clear" w:color="auto" w:fill="FFFFFF"/>
              </w:rPr>
              <w:t>建设用地</w:t>
            </w:r>
          </w:p>
        </w:tc>
        <w:tc>
          <w:tcPr>
            <w:tcW w:w="552" w:type="pct"/>
            <w:tcBorders>
              <w:bottom w:val="single" w:sz="8"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110</w:t>
            </w:r>
          </w:p>
        </w:tc>
        <w:tc>
          <w:tcPr>
            <w:tcW w:w="552" w:type="pct"/>
            <w:tcBorders>
              <w:bottom w:val="single" w:sz="8"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93</w:t>
            </w:r>
          </w:p>
        </w:tc>
        <w:tc>
          <w:tcPr>
            <w:tcW w:w="552" w:type="pct"/>
            <w:tcBorders>
              <w:bottom w:val="single" w:sz="8"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89</w:t>
            </w:r>
          </w:p>
        </w:tc>
        <w:tc>
          <w:tcPr>
            <w:tcW w:w="552" w:type="pct"/>
            <w:tcBorders>
              <w:bottom w:val="single" w:sz="8" w:space="0" w:color="auto"/>
            </w:tcBorders>
            <w:vAlign w:val="center"/>
          </w:tcPr>
          <w:p w:rsidR="00F5516E" w:rsidRPr="00FC53F0" w:rsidRDefault="0071268E">
            <w:pPr>
              <w:spacing w:line="288" w:lineRule="auto"/>
              <w:jc w:val="center"/>
              <w:rPr>
                <w:rFonts w:ascii="Times New Roman" w:hAnsi="Times New Roman"/>
                <w:szCs w:val="21"/>
                <w:shd w:val="clear" w:color="auto" w:fill="FFFFFF"/>
              </w:rPr>
            </w:pPr>
            <w:r w:rsidRPr="00FC53F0">
              <w:rPr>
                <w:rFonts w:ascii="Times New Roman" w:hAnsi="Times New Roman"/>
                <w:sz w:val="15"/>
                <w:szCs w:val="15"/>
                <w:shd w:val="clear" w:color="auto" w:fill="FFFFFF"/>
              </w:rPr>
              <w:t>73</w:t>
            </w:r>
          </w:p>
        </w:tc>
      </w:tr>
    </w:tbl>
    <w:p w:rsidR="00F5516E" w:rsidRPr="00FC53F0" w:rsidRDefault="0071268E" w:rsidP="00026C6C">
      <w:pPr>
        <w:spacing w:before="240"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其中，集体建设用地分级别的基准地价由式（2）得到，该方法计算所得结果与皋兰县自然资源</w:t>
      </w:r>
      <w:proofErr w:type="gramStart"/>
      <w:r w:rsidRPr="00FC53F0">
        <w:rPr>
          <w:rFonts w:asciiTheme="minorEastAsia" w:eastAsiaTheme="minorEastAsia" w:hAnsiTheme="minorEastAsia" w:hint="eastAsia"/>
          <w:sz w:val="21"/>
          <w:szCs w:val="21"/>
          <w:shd w:val="clear" w:color="auto" w:fill="FFFFFF"/>
        </w:rPr>
        <w:t>局集体</w:t>
      </w:r>
      <w:proofErr w:type="gramEnd"/>
      <w:r w:rsidRPr="00FC53F0">
        <w:rPr>
          <w:rFonts w:asciiTheme="minorEastAsia" w:eastAsiaTheme="minorEastAsia" w:hAnsiTheme="minorEastAsia" w:hint="eastAsia"/>
          <w:sz w:val="21"/>
          <w:szCs w:val="21"/>
          <w:shd w:val="clear" w:color="auto" w:fill="FFFFFF"/>
        </w:rPr>
        <w:t>建设用地基准地价的评估结果基本一致</w:t>
      </w:r>
      <w:r w:rsidR="003236B9"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hint="eastAsia"/>
          <w:sz w:val="21"/>
          <w:szCs w:val="21"/>
          <w:shd w:val="clear" w:color="auto" w:fill="FFFFFF"/>
        </w:rPr>
        <w:t>故权能修正法适用于集体建设用地基准地价的评估</w:t>
      </w:r>
      <w:r w:rsidR="003236B9"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hint="eastAsia"/>
          <w:sz w:val="21"/>
          <w:szCs w:val="21"/>
          <w:shd w:val="clear" w:color="auto" w:fill="FFFFFF"/>
        </w:rPr>
        <w:t>通过对比研究区内国有建设用地和集体建设用地的权能差异</w:t>
      </w:r>
      <w:r w:rsidR="003236B9" w:rsidRPr="00FC53F0">
        <w:rPr>
          <w:rFonts w:asciiTheme="minorEastAsia" w:eastAsiaTheme="minorEastAsia" w:hAnsiTheme="minorEastAsia" w:hint="eastAsia"/>
          <w:sz w:val="21"/>
          <w:szCs w:val="21"/>
          <w:shd w:val="clear" w:color="auto" w:fill="FFFFFF"/>
        </w:rPr>
        <w:t>，</w:t>
      </w:r>
      <w:r w:rsidR="0077401F" w:rsidRPr="00FC53F0">
        <w:rPr>
          <w:rFonts w:asciiTheme="minorEastAsia" w:eastAsiaTheme="minorEastAsia" w:hAnsiTheme="minorEastAsia" w:hint="eastAsia"/>
          <w:sz w:val="21"/>
          <w:szCs w:val="21"/>
          <w:shd w:val="clear" w:color="auto" w:fill="FFFFFF"/>
        </w:rPr>
        <w:t>结合</w:t>
      </w:r>
      <w:r w:rsidRPr="00FC53F0">
        <w:rPr>
          <w:rFonts w:asciiTheme="minorEastAsia" w:eastAsiaTheme="minorEastAsia" w:hAnsiTheme="minorEastAsia" w:hint="eastAsia"/>
          <w:sz w:val="21"/>
          <w:szCs w:val="21"/>
          <w:shd w:val="clear" w:color="auto" w:fill="FFFFFF"/>
        </w:rPr>
        <w:t>国有建设用地基准地价数据</w:t>
      </w:r>
      <w:r w:rsidR="003236B9"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hint="eastAsia"/>
          <w:sz w:val="21"/>
          <w:szCs w:val="21"/>
          <w:shd w:val="clear" w:color="auto" w:fill="FFFFFF"/>
        </w:rPr>
        <w:t>即可得到集体建设用地基准地价。因此</w:t>
      </w:r>
      <w:proofErr w:type="gramStart"/>
      <w:r w:rsidRPr="00FC53F0">
        <w:rPr>
          <w:rFonts w:asciiTheme="minorEastAsia" w:eastAsiaTheme="minorEastAsia" w:hAnsiTheme="minorEastAsia" w:hint="eastAsia"/>
          <w:sz w:val="21"/>
          <w:szCs w:val="21"/>
          <w:shd w:val="clear" w:color="auto" w:fill="FFFFFF"/>
        </w:rPr>
        <w:t>此</w:t>
      </w:r>
      <w:proofErr w:type="gramEnd"/>
      <w:r w:rsidRPr="00FC53F0">
        <w:rPr>
          <w:rFonts w:asciiTheme="minorEastAsia" w:eastAsiaTheme="minorEastAsia" w:hAnsiTheme="minorEastAsia" w:hint="eastAsia"/>
          <w:sz w:val="21"/>
          <w:szCs w:val="21"/>
          <w:shd w:val="clear" w:color="auto" w:fill="FFFFFF"/>
        </w:rPr>
        <w:t>方法具有可复制性，可推广使用。</w:t>
      </w:r>
    </w:p>
    <w:p w:rsidR="00F5516E" w:rsidRPr="00FC53F0" w:rsidRDefault="0071268E" w:rsidP="002021E2">
      <w:pPr>
        <w:spacing w:line="360" w:lineRule="auto"/>
        <w:rPr>
          <w:rFonts w:asciiTheme="minorEastAsia" w:eastAsiaTheme="minorEastAsia" w:hAnsiTheme="minorEastAsia"/>
          <w:b/>
          <w:bCs/>
          <w:sz w:val="28"/>
          <w:szCs w:val="28"/>
          <w:shd w:val="clear" w:color="auto" w:fill="FFFFFF"/>
        </w:rPr>
      </w:pPr>
      <w:r w:rsidRPr="00FC53F0">
        <w:rPr>
          <w:rFonts w:asciiTheme="minorEastAsia" w:eastAsiaTheme="minorEastAsia" w:hAnsiTheme="minorEastAsia"/>
          <w:b/>
          <w:bCs/>
          <w:sz w:val="28"/>
          <w:szCs w:val="28"/>
          <w:shd w:val="clear" w:color="auto" w:fill="FFFFFF"/>
        </w:rPr>
        <w:t>4 结论与讨论</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本文</w:t>
      </w:r>
      <w:r w:rsidRPr="00FC53F0">
        <w:rPr>
          <w:rFonts w:asciiTheme="minorEastAsia" w:eastAsiaTheme="minorEastAsia" w:hAnsiTheme="minorEastAsia" w:hint="eastAsia"/>
          <w:sz w:val="21"/>
          <w:szCs w:val="21"/>
          <w:shd w:val="clear" w:color="auto" w:fill="FFFFFF"/>
        </w:rPr>
        <w:t>从心理学学科的认知视角出发，</w:t>
      </w:r>
      <w:r w:rsidRPr="00FC53F0">
        <w:rPr>
          <w:rFonts w:asciiTheme="minorEastAsia" w:eastAsiaTheme="minorEastAsia" w:hAnsiTheme="minorEastAsia"/>
          <w:sz w:val="21"/>
          <w:szCs w:val="21"/>
          <w:shd w:val="clear" w:color="auto" w:fill="FFFFFF"/>
        </w:rPr>
        <w:t>对国有建设用地与集体建设用地土地产权权能差异进行了比较，进而引出以下几点</w:t>
      </w:r>
      <w:r w:rsidRPr="00FC53F0">
        <w:rPr>
          <w:rFonts w:asciiTheme="minorEastAsia" w:eastAsiaTheme="minorEastAsia" w:hAnsiTheme="minorEastAsia" w:hint="eastAsia"/>
          <w:sz w:val="21"/>
          <w:szCs w:val="21"/>
          <w:shd w:val="clear" w:color="auto" w:fill="FFFFFF"/>
        </w:rPr>
        <w:t>思考</w:t>
      </w:r>
      <w:r w:rsidRPr="00FC53F0">
        <w:rPr>
          <w:rFonts w:asciiTheme="minorEastAsia" w:eastAsiaTheme="minorEastAsia" w:hAnsiTheme="minorEastAsia"/>
          <w:sz w:val="21"/>
          <w:szCs w:val="21"/>
          <w:shd w:val="clear" w:color="auto" w:fill="FFFFFF"/>
        </w:rPr>
        <w:t>：</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（1）同权同价不可能性分析。社会各界对集体建设用地使用权</w:t>
      </w:r>
      <w:r w:rsidR="00D00B0F" w:rsidRPr="00FC53F0">
        <w:rPr>
          <w:rFonts w:asciiTheme="minorEastAsia" w:eastAsiaTheme="minorEastAsia" w:hAnsiTheme="minorEastAsia" w:hint="eastAsia"/>
          <w:sz w:val="21"/>
          <w:szCs w:val="21"/>
          <w:shd w:val="clear" w:color="auto" w:fill="FFFFFF"/>
        </w:rPr>
        <w:t>的认可程度</w:t>
      </w:r>
      <w:r w:rsidRPr="00FC53F0">
        <w:rPr>
          <w:rFonts w:asciiTheme="minorEastAsia" w:eastAsiaTheme="minorEastAsia" w:hAnsiTheme="minorEastAsia"/>
          <w:sz w:val="21"/>
          <w:szCs w:val="21"/>
          <w:shd w:val="clear" w:color="auto" w:fill="FFFFFF"/>
        </w:rPr>
        <w:t>与国有建设用地使用权</w:t>
      </w:r>
      <w:r w:rsidR="00D00B0F" w:rsidRPr="00FC53F0">
        <w:rPr>
          <w:rFonts w:asciiTheme="minorEastAsia" w:eastAsiaTheme="minorEastAsia" w:hAnsiTheme="minorEastAsia" w:hint="eastAsia"/>
          <w:sz w:val="21"/>
          <w:szCs w:val="21"/>
          <w:shd w:val="clear" w:color="auto" w:fill="FFFFFF"/>
        </w:rPr>
        <w:t>比</w:t>
      </w:r>
      <w:r w:rsidRPr="00FC53F0">
        <w:rPr>
          <w:rFonts w:asciiTheme="minorEastAsia" w:eastAsiaTheme="minorEastAsia" w:hAnsiTheme="minorEastAsia"/>
          <w:sz w:val="21"/>
          <w:szCs w:val="21"/>
          <w:shd w:val="clear" w:color="auto" w:fill="FFFFFF"/>
        </w:rPr>
        <w:t>尚存在差距，除少数地区试点前就有很好的集体建设用地交易基础外，大多数试点地区的集体建设用地交易市场尚处于培育期，交易活跃程度受到影响。虽然各试点地区的文件均规定集体建设用地使用权人在使用期限内可以转让</w:t>
      </w:r>
      <w:r w:rsidR="003236B9"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sz w:val="21"/>
          <w:szCs w:val="21"/>
          <w:shd w:val="clear" w:color="auto" w:fill="FFFFFF"/>
        </w:rPr>
        <w:t>出租其土地使用权，但实际情况却并非实现“同权”</w:t>
      </w:r>
      <w:r w:rsidRPr="00FC53F0">
        <w:rPr>
          <w:rFonts w:asciiTheme="minorEastAsia" w:eastAsiaTheme="minorEastAsia" w:hAnsiTheme="minorEastAsia"/>
          <w:sz w:val="21"/>
          <w:szCs w:val="21"/>
          <w:shd w:val="clear" w:color="auto" w:fill="FFFFFF"/>
          <w:vertAlign w:val="superscript"/>
        </w:rPr>
        <w:t>[31</w:t>
      </w:r>
      <w:r w:rsidRPr="00FC53F0">
        <w:rPr>
          <w:rFonts w:asciiTheme="minorEastAsia" w:eastAsiaTheme="minorEastAsia" w:hAnsiTheme="minorEastAsia" w:hint="eastAsia"/>
          <w:sz w:val="21"/>
          <w:szCs w:val="21"/>
          <w:shd w:val="clear" w:color="auto" w:fill="FFFFFF"/>
          <w:vertAlign w:val="superscript"/>
        </w:rPr>
        <w:t>-</w:t>
      </w:r>
      <w:r w:rsidRPr="00FC53F0">
        <w:rPr>
          <w:rFonts w:asciiTheme="minorEastAsia" w:eastAsiaTheme="minorEastAsia" w:hAnsiTheme="minorEastAsia"/>
          <w:sz w:val="21"/>
          <w:szCs w:val="21"/>
          <w:shd w:val="clear" w:color="auto" w:fill="FFFFFF"/>
          <w:vertAlign w:val="superscript"/>
        </w:rPr>
        <w:t>35]</w:t>
      </w:r>
      <w:r w:rsidRPr="00FC53F0">
        <w:rPr>
          <w:rFonts w:asciiTheme="minorEastAsia" w:eastAsiaTheme="minorEastAsia" w:hAnsiTheme="minorEastAsia"/>
          <w:sz w:val="21"/>
          <w:szCs w:val="21"/>
          <w:shd w:val="clear" w:color="auto" w:fill="FFFFFF"/>
        </w:rPr>
        <w:t>。由于我国集体土地与国有土地并存，既然无法实现集体建设用地与国有建设用地同等权利的转让出租等，那么同区域内国有建设用地与集体建设用地则无法达到同等价格</w:t>
      </w:r>
      <w:r w:rsidRPr="00FC53F0">
        <w:rPr>
          <w:rFonts w:asciiTheme="minorEastAsia" w:eastAsiaTheme="minorEastAsia" w:hAnsiTheme="minorEastAsia"/>
          <w:sz w:val="21"/>
          <w:szCs w:val="21"/>
          <w:shd w:val="clear" w:color="auto" w:fill="FFFFFF"/>
          <w:vertAlign w:val="superscript"/>
        </w:rPr>
        <w:t>[36]</w:t>
      </w:r>
      <w:r w:rsidRPr="00FC53F0">
        <w:rPr>
          <w:rFonts w:asciiTheme="minorEastAsia" w:eastAsiaTheme="minorEastAsia" w:hAnsiTheme="minorEastAsia"/>
          <w:sz w:val="21"/>
          <w:szCs w:val="21"/>
          <w:shd w:val="clear" w:color="auto" w:fill="FFFFFF"/>
        </w:rPr>
        <w:t xml:space="preserve">。  </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（2）权能修正体系的准确建立。本文中修正系数的确立采用了特尔</w:t>
      </w:r>
      <w:r w:rsidR="001F28DA" w:rsidRPr="00FC53F0">
        <w:rPr>
          <w:rFonts w:asciiTheme="minorEastAsia" w:eastAsiaTheme="minorEastAsia" w:hAnsiTheme="minorEastAsia" w:hint="eastAsia"/>
          <w:sz w:val="21"/>
          <w:szCs w:val="21"/>
          <w:shd w:val="clear" w:color="auto" w:fill="FFFFFF"/>
        </w:rPr>
        <w:t>斐</w:t>
      </w:r>
      <w:r w:rsidRPr="00FC53F0">
        <w:rPr>
          <w:rFonts w:asciiTheme="minorEastAsia" w:eastAsiaTheme="minorEastAsia" w:hAnsiTheme="minorEastAsia"/>
          <w:sz w:val="21"/>
          <w:szCs w:val="21"/>
          <w:shd w:val="clear" w:color="auto" w:fill="FFFFFF"/>
        </w:rPr>
        <w:t>法，这就使得修正系数的值带有一定的主观性。故为了提高修正系数的准确性，应选择合适数量的对研究区域较为熟悉</w:t>
      </w:r>
      <w:r w:rsidR="003236B9"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sz w:val="21"/>
          <w:szCs w:val="21"/>
          <w:shd w:val="clear" w:color="auto" w:fill="FFFFFF"/>
        </w:rPr>
        <w:t>对市场、政策以及社会较为了解的专家和管理人员进行咨询，应该充分考虑权利完整性、政策支持度以及交易完善性等方面的差异来建立该指标体系</w:t>
      </w:r>
      <w:r w:rsidRPr="00FC53F0">
        <w:rPr>
          <w:rFonts w:asciiTheme="minorEastAsia" w:eastAsiaTheme="minorEastAsia" w:hAnsiTheme="minorEastAsia"/>
          <w:sz w:val="21"/>
          <w:szCs w:val="21"/>
          <w:shd w:val="clear" w:color="auto" w:fill="FFFFFF"/>
          <w:vertAlign w:val="superscript"/>
        </w:rPr>
        <w:t>[37]</w:t>
      </w:r>
      <w:r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hint="eastAsia"/>
          <w:sz w:val="21"/>
          <w:szCs w:val="21"/>
          <w:shd w:val="clear" w:color="auto" w:fill="FFFFFF"/>
        </w:rPr>
        <w:t>本文采用模糊综合评价方法对特尔斐法存在的主观性问题进行了准确性判定，减少了以上问题的发生。但模糊综合评价过程中仍存在主观性的打分过程，故而直接消除主观性打分的误差成为了这一课题以后的研究方向。</w:t>
      </w:r>
    </w:p>
    <w:p w:rsidR="00F5516E" w:rsidRPr="00FC53F0" w:rsidRDefault="0071268E" w:rsidP="002021E2">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sz w:val="21"/>
          <w:szCs w:val="21"/>
          <w:shd w:val="clear" w:color="auto" w:fill="FFFFFF"/>
        </w:rPr>
        <w:t>（3）国有建设用地</w:t>
      </w:r>
      <w:r w:rsidR="003236B9" w:rsidRPr="00FC53F0">
        <w:rPr>
          <w:rFonts w:asciiTheme="minorEastAsia" w:eastAsiaTheme="minorEastAsia" w:hAnsiTheme="minorEastAsia" w:hint="eastAsia"/>
          <w:sz w:val="21"/>
          <w:szCs w:val="21"/>
          <w:shd w:val="clear" w:color="auto" w:fill="FFFFFF"/>
        </w:rPr>
        <w:t>基准地价</w:t>
      </w:r>
      <w:r w:rsidRPr="00FC53F0">
        <w:rPr>
          <w:rFonts w:asciiTheme="minorEastAsia" w:eastAsiaTheme="minorEastAsia" w:hAnsiTheme="minorEastAsia"/>
          <w:sz w:val="21"/>
          <w:szCs w:val="21"/>
          <w:shd w:val="clear" w:color="auto" w:fill="FFFFFF"/>
        </w:rPr>
        <w:t>的正确性是基础。本文中的方法是针对国有建设用地基准地价正确性的基础之上进行权能修正的，如若存在较多偏差，则修正无效</w:t>
      </w:r>
      <w:r w:rsidRPr="00FC53F0">
        <w:rPr>
          <w:rFonts w:asciiTheme="minorEastAsia" w:eastAsiaTheme="minorEastAsia" w:hAnsiTheme="minorEastAsia"/>
          <w:sz w:val="21"/>
          <w:szCs w:val="21"/>
          <w:shd w:val="clear" w:color="auto" w:fill="FFFFFF"/>
          <w:vertAlign w:val="superscript"/>
        </w:rPr>
        <w:t xml:space="preserve"> [30]</w:t>
      </w:r>
      <w:r w:rsidRPr="00FC53F0">
        <w:rPr>
          <w:rFonts w:asciiTheme="minorEastAsia" w:eastAsiaTheme="minorEastAsia" w:hAnsiTheme="minorEastAsia"/>
          <w:sz w:val="21"/>
          <w:szCs w:val="21"/>
          <w:shd w:val="clear" w:color="auto" w:fill="FFFFFF"/>
        </w:rPr>
        <w:t>。</w:t>
      </w:r>
    </w:p>
    <w:p w:rsidR="00F5516E" w:rsidRPr="00FC53F0" w:rsidRDefault="0071268E" w:rsidP="00D00B0F">
      <w:pPr>
        <w:spacing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（4）与现有地价研究方法相比，权能修正法具有以下优点：①</w:t>
      </w:r>
      <w:r w:rsidRPr="00FC53F0">
        <w:rPr>
          <w:rFonts w:asciiTheme="minorEastAsia" w:eastAsiaTheme="minorEastAsia" w:hAnsiTheme="minorEastAsia"/>
          <w:sz w:val="21"/>
          <w:szCs w:val="21"/>
          <w:shd w:val="clear" w:color="auto" w:fill="FFFFFF"/>
        </w:rPr>
        <w:t xml:space="preserve"> </w:t>
      </w:r>
      <w:r w:rsidRPr="00FC53F0">
        <w:rPr>
          <w:rFonts w:asciiTheme="minorEastAsia" w:eastAsiaTheme="minorEastAsia" w:hAnsiTheme="minorEastAsia" w:hint="eastAsia"/>
          <w:sz w:val="21"/>
          <w:szCs w:val="21"/>
          <w:shd w:val="clear" w:color="auto" w:fill="FFFFFF"/>
        </w:rPr>
        <w:t>理论依据充足，科学性</w:t>
      </w:r>
      <w:r w:rsidRPr="00FC53F0">
        <w:rPr>
          <w:rFonts w:asciiTheme="minorEastAsia" w:eastAsiaTheme="minorEastAsia" w:hAnsiTheme="minorEastAsia" w:hint="eastAsia"/>
          <w:sz w:val="21"/>
          <w:szCs w:val="21"/>
          <w:shd w:val="clear" w:color="auto" w:fill="FFFFFF"/>
        </w:rPr>
        <w:lastRenderedPageBreak/>
        <w:t>强。运用心理学领域的认知观念为参考，经济学领域效用价值理论为依据，结合产权理论对此方法提供充足的理论依据。② 易操作性。此方法没有繁琐的步骤和大量的计算公式，也没有难以获取的资料，具有较强的可操作性。③ 可推广性。从理论分析和实践验证两方面的双重分析，表明了此方法的可行性与可推广性。</w:t>
      </w:r>
    </w:p>
    <w:p w:rsidR="00F5516E" w:rsidRPr="00FC53F0" w:rsidRDefault="0071268E" w:rsidP="00026C6C">
      <w:pPr>
        <w:spacing w:after="240" w:line="360" w:lineRule="auto"/>
        <w:ind w:firstLineChars="200" w:firstLine="420"/>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综上，</w:t>
      </w:r>
      <w:r w:rsidRPr="00FC53F0">
        <w:rPr>
          <w:rFonts w:asciiTheme="minorEastAsia" w:eastAsiaTheme="minorEastAsia" w:hAnsiTheme="minorEastAsia"/>
          <w:sz w:val="21"/>
          <w:szCs w:val="21"/>
          <w:shd w:val="clear" w:color="auto" w:fill="FFFFFF"/>
        </w:rPr>
        <w:t>权能修正法</w:t>
      </w:r>
      <w:r w:rsidRPr="00FC53F0">
        <w:rPr>
          <w:rFonts w:asciiTheme="minorEastAsia" w:eastAsiaTheme="minorEastAsia" w:hAnsiTheme="minorEastAsia" w:hint="eastAsia"/>
          <w:sz w:val="21"/>
          <w:szCs w:val="21"/>
          <w:shd w:val="clear" w:color="auto" w:fill="FFFFFF"/>
        </w:rPr>
        <w:t>既有科学的</w:t>
      </w:r>
      <w:r w:rsidRPr="00FC53F0">
        <w:rPr>
          <w:rFonts w:asciiTheme="minorEastAsia" w:eastAsiaTheme="minorEastAsia" w:hAnsiTheme="minorEastAsia"/>
          <w:sz w:val="21"/>
          <w:szCs w:val="21"/>
          <w:shd w:val="clear" w:color="auto" w:fill="FFFFFF"/>
        </w:rPr>
        <w:t>理论</w:t>
      </w:r>
      <w:r w:rsidRPr="00FC53F0">
        <w:rPr>
          <w:rFonts w:asciiTheme="minorEastAsia" w:eastAsiaTheme="minorEastAsia" w:hAnsiTheme="minorEastAsia" w:hint="eastAsia"/>
          <w:sz w:val="21"/>
          <w:szCs w:val="21"/>
          <w:shd w:val="clear" w:color="auto" w:fill="FFFFFF"/>
        </w:rPr>
        <w:t>依据</w:t>
      </w:r>
      <w:r w:rsidRPr="00FC53F0">
        <w:rPr>
          <w:rFonts w:asciiTheme="minorEastAsia" w:eastAsiaTheme="minorEastAsia" w:hAnsiTheme="minorEastAsia"/>
          <w:sz w:val="21"/>
          <w:szCs w:val="21"/>
          <w:shd w:val="clear" w:color="auto" w:fill="FFFFFF"/>
        </w:rPr>
        <w:t>，在实际案例中也可</w:t>
      </w:r>
      <w:r w:rsidRPr="00FC53F0">
        <w:rPr>
          <w:rFonts w:asciiTheme="minorEastAsia" w:eastAsiaTheme="minorEastAsia" w:hAnsiTheme="minorEastAsia" w:hint="eastAsia"/>
          <w:sz w:val="21"/>
          <w:szCs w:val="21"/>
          <w:shd w:val="clear" w:color="auto" w:fill="FFFFFF"/>
        </w:rPr>
        <w:t>运用到</w:t>
      </w:r>
      <w:r w:rsidRPr="00FC53F0">
        <w:rPr>
          <w:rFonts w:asciiTheme="minorEastAsia" w:eastAsiaTheme="minorEastAsia" w:hAnsiTheme="minorEastAsia"/>
          <w:sz w:val="21"/>
          <w:szCs w:val="21"/>
          <w:shd w:val="clear" w:color="auto" w:fill="FFFFFF"/>
        </w:rPr>
        <w:t>集体建设用地基准地价评估</w:t>
      </w:r>
      <w:r w:rsidRPr="00FC53F0">
        <w:rPr>
          <w:rFonts w:asciiTheme="minorEastAsia" w:eastAsiaTheme="minorEastAsia" w:hAnsiTheme="minorEastAsia" w:hint="eastAsia"/>
          <w:sz w:val="21"/>
          <w:szCs w:val="21"/>
          <w:shd w:val="clear" w:color="auto" w:fill="FFFFFF"/>
        </w:rPr>
        <w:t>中</w:t>
      </w:r>
      <w:r w:rsidR="00D00B0F"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hint="eastAsia"/>
          <w:sz w:val="21"/>
          <w:szCs w:val="21"/>
          <w:shd w:val="clear" w:color="auto" w:fill="FFFFFF"/>
        </w:rPr>
        <w:t>该方法</w:t>
      </w:r>
      <w:r w:rsidRPr="00FC53F0">
        <w:rPr>
          <w:rFonts w:asciiTheme="minorEastAsia" w:eastAsiaTheme="minorEastAsia" w:hAnsiTheme="minorEastAsia"/>
          <w:sz w:val="21"/>
          <w:szCs w:val="21"/>
          <w:shd w:val="clear" w:color="auto" w:fill="FFFFFF"/>
        </w:rPr>
        <w:t xml:space="preserve">具有可推广、可复制性，可以运用到其他地区中。   </w:t>
      </w:r>
      <w:r w:rsidR="00026C6C" w:rsidRPr="00FC53F0">
        <w:rPr>
          <w:rFonts w:asciiTheme="minorEastAsia" w:eastAsiaTheme="minorEastAsia" w:hAnsiTheme="minorEastAsia"/>
          <w:sz w:val="21"/>
          <w:szCs w:val="21"/>
          <w:shd w:val="clear" w:color="auto" w:fill="FFFFFF"/>
        </w:rPr>
        <w:t xml:space="preserve">                           </w:t>
      </w:r>
      <w:r w:rsidRPr="00FC53F0">
        <w:rPr>
          <w:rFonts w:asciiTheme="minorEastAsia" w:eastAsiaTheme="minorEastAsia" w:hAnsiTheme="minorEastAsia"/>
          <w:sz w:val="21"/>
          <w:szCs w:val="21"/>
          <w:shd w:val="clear" w:color="auto" w:fill="FFFFFF"/>
        </w:rPr>
        <w:t xml:space="preserve">                                                                                             </w:t>
      </w:r>
    </w:p>
    <w:p w:rsidR="00F5516E" w:rsidRPr="00FC53F0" w:rsidRDefault="0071268E" w:rsidP="002021E2">
      <w:pPr>
        <w:spacing w:line="360" w:lineRule="auto"/>
        <w:rPr>
          <w:rFonts w:asciiTheme="minorEastAsia" w:eastAsiaTheme="minorEastAsia" w:hAnsiTheme="minorEastAsia"/>
          <w:b/>
          <w:bCs/>
          <w:sz w:val="28"/>
          <w:szCs w:val="28"/>
        </w:rPr>
      </w:pPr>
      <w:r w:rsidRPr="00FC53F0">
        <w:rPr>
          <w:rFonts w:asciiTheme="minorEastAsia" w:eastAsiaTheme="minorEastAsia" w:hAnsiTheme="minorEastAsia"/>
          <w:b/>
          <w:bCs/>
          <w:sz w:val="28"/>
          <w:szCs w:val="28"/>
        </w:rPr>
        <w:t>参考文献</w:t>
      </w:r>
    </w:p>
    <w:bookmarkEnd w:id="0"/>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[1]</w:t>
      </w:r>
      <w:r w:rsidRPr="00FC53F0">
        <w:rPr>
          <w:rFonts w:asciiTheme="minorEastAsia" w:eastAsiaTheme="minorEastAsia" w:hAnsiTheme="minorEastAsia"/>
          <w:sz w:val="21"/>
          <w:szCs w:val="21"/>
          <w:shd w:val="clear" w:color="auto" w:fill="FFFFFF"/>
        </w:rPr>
        <w:t>王明田</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集体建设用地入市助力乡村振兴战略推进</w:t>
      </w:r>
      <w:r w:rsidR="0096762A"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小城镇建设</w:t>
      </w:r>
      <w:r w:rsidR="0096762A" w:rsidRPr="00FC53F0">
        <w:rPr>
          <w:rFonts w:asciiTheme="minorEastAsia" w:eastAsiaTheme="minorEastAsia" w:hAnsiTheme="minorEastAsia"/>
          <w:sz w:val="21"/>
          <w:szCs w:val="21"/>
          <w:shd w:val="clear" w:color="auto" w:fill="FFFFFF"/>
        </w:rPr>
        <w:t>,2019,37(10):</w:t>
      </w:r>
      <w:r w:rsidRPr="00FC53F0">
        <w:rPr>
          <w:rFonts w:asciiTheme="minorEastAsia" w:eastAsiaTheme="minorEastAsia" w:hAnsiTheme="minorEastAsia"/>
          <w:sz w:val="21"/>
          <w:szCs w:val="21"/>
          <w:shd w:val="clear" w:color="auto" w:fill="FFFFFF"/>
        </w:rPr>
        <w:t xml:space="preserve">1.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[2]</w:t>
      </w:r>
      <w:r w:rsidR="00884E0E" w:rsidRPr="00FC53F0">
        <w:rPr>
          <w:rFonts w:asciiTheme="minorEastAsia" w:eastAsiaTheme="minorEastAsia" w:hAnsiTheme="minorEastAsia"/>
          <w:sz w:val="21"/>
          <w:szCs w:val="21"/>
        </w:rPr>
        <w:t xml:space="preserve">冯晓红.基于土地流转的集体建设用地基准地价研究[D].重庆:西南大学,2012. </w:t>
      </w:r>
      <w:r w:rsidRPr="00FC53F0">
        <w:rPr>
          <w:rFonts w:asciiTheme="minorEastAsia" w:eastAsiaTheme="minorEastAsia" w:hAnsiTheme="minorEastAsia"/>
          <w:sz w:val="21"/>
          <w:szCs w:val="21"/>
          <w:shd w:val="clear" w:color="auto" w:fill="FFFFFF"/>
        </w:rPr>
        <w:t xml:space="preserve">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[3]</w:t>
      </w:r>
      <w:r w:rsidRPr="00FC53F0">
        <w:rPr>
          <w:rFonts w:asciiTheme="minorEastAsia" w:eastAsiaTheme="minorEastAsia" w:hAnsiTheme="minorEastAsia"/>
          <w:sz w:val="21"/>
          <w:szCs w:val="21"/>
          <w:shd w:val="clear" w:color="auto" w:fill="FFFFFF"/>
        </w:rPr>
        <w:t>中华人民共和国</w:t>
      </w:r>
      <w:r w:rsidR="001F28DA" w:rsidRPr="00FC53F0">
        <w:rPr>
          <w:rFonts w:asciiTheme="minorEastAsia" w:eastAsiaTheme="minorEastAsia" w:hAnsiTheme="minorEastAsia" w:hint="eastAsia"/>
          <w:sz w:val="21"/>
          <w:szCs w:val="21"/>
          <w:shd w:val="clear" w:color="auto" w:fill="FFFFFF"/>
        </w:rPr>
        <w:t>国家质量监督检验检疫总局，中国国家标准化管理委员会.</w:t>
      </w:r>
      <w:r w:rsidR="0096762A" w:rsidRPr="00FC53F0">
        <w:rPr>
          <w:rFonts w:asciiTheme="minorEastAsia" w:eastAsiaTheme="minorEastAsia" w:hAnsiTheme="minorEastAsia"/>
          <w:sz w:val="21"/>
          <w:szCs w:val="21"/>
          <w:shd w:val="clear" w:color="auto" w:fill="FFFFFF"/>
        </w:rPr>
        <w:t>城镇土地分等定级规程</w:t>
      </w:r>
      <w:r w:rsidR="001F28DA" w:rsidRPr="00FC53F0">
        <w:rPr>
          <w:rFonts w:asciiTheme="minorEastAsia" w:eastAsiaTheme="minorEastAsia" w:hAnsiTheme="minorEastAsia"/>
          <w:sz w:val="21"/>
          <w:szCs w:val="21"/>
          <w:shd w:val="clear" w:color="auto" w:fill="FFFFFF"/>
        </w:rPr>
        <w:t>:GB/T 18508-2014[S].</w:t>
      </w:r>
      <w:r w:rsidRPr="00FC53F0">
        <w:rPr>
          <w:rFonts w:asciiTheme="minorEastAsia" w:eastAsiaTheme="minorEastAsia" w:hAnsiTheme="minorEastAsia"/>
          <w:sz w:val="21"/>
          <w:szCs w:val="21"/>
          <w:shd w:val="clear" w:color="auto" w:fill="FFFFFF"/>
        </w:rPr>
        <w:t>北京</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中国标准出版社</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 xml:space="preserve">2014.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[4]</w:t>
      </w:r>
      <w:r w:rsidR="00884E0E" w:rsidRPr="00FC53F0">
        <w:rPr>
          <w:rFonts w:asciiTheme="minorEastAsia" w:eastAsiaTheme="minorEastAsia" w:hAnsiTheme="minorEastAsia"/>
          <w:sz w:val="21"/>
          <w:szCs w:val="21"/>
        </w:rPr>
        <w:t xml:space="preserve">马仁会,李强,李小波,等.县级农用地分等评价单元划分方法评析[J].地理学与国土研究,2002(2):93-95. </w:t>
      </w:r>
      <w:r w:rsidRPr="00FC53F0">
        <w:rPr>
          <w:rFonts w:asciiTheme="minorEastAsia" w:eastAsiaTheme="minorEastAsia" w:hAnsiTheme="minorEastAsia"/>
          <w:sz w:val="21"/>
          <w:szCs w:val="21"/>
          <w:shd w:val="clear" w:color="auto" w:fill="FFFFFF"/>
        </w:rPr>
        <w:t xml:space="preserve">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[5]</w:t>
      </w:r>
      <w:r w:rsidRPr="00FC53F0">
        <w:rPr>
          <w:rFonts w:asciiTheme="minorEastAsia" w:eastAsiaTheme="minorEastAsia" w:hAnsiTheme="minorEastAsia"/>
          <w:sz w:val="21"/>
          <w:szCs w:val="21"/>
          <w:shd w:val="clear" w:color="auto" w:fill="FFFFFF"/>
        </w:rPr>
        <w:t>殷意晗</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刘刚</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唐建平</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土地还原利率确定的方法初探</w:t>
      </w:r>
      <w:r w:rsidR="0096762A"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sz w:val="21"/>
          <w:szCs w:val="21"/>
          <w:shd w:val="clear" w:color="auto" w:fill="FFFFFF"/>
        </w:rPr>
        <w:t>以湖南省永州市为例</w:t>
      </w:r>
      <w:r w:rsidR="00123FA4"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北京农业</w:t>
      </w:r>
      <w:r w:rsidR="0096762A" w:rsidRPr="00FC53F0">
        <w:rPr>
          <w:rFonts w:asciiTheme="minorEastAsia" w:eastAsiaTheme="minorEastAsia" w:hAnsiTheme="minorEastAsia"/>
          <w:sz w:val="21"/>
          <w:szCs w:val="21"/>
          <w:shd w:val="clear" w:color="auto" w:fill="FFFFFF"/>
        </w:rPr>
        <w:t>,2010(3):</w:t>
      </w:r>
      <w:r w:rsidRPr="00FC53F0">
        <w:rPr>
          <w:rFonts w:asciiTheme="minorEastAsia" w:eastAsiaTheme="minorEastAsia" w:hAnsiTheme="minorEastAsia"/>
          <w:sz w:val="21"/>
          <w:szCs w:val="21"/>
          <w:shd w:val="clear" w:color="auto" w:fill="FFFFFF"/>
        </w:rPr>
        <w:t xml:space="preserve">40-43.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[6]</w:t>
      </w:r>
      <w:proofErr w:type="gramStart"/>
      <w:r w:rsidR="0096762A" w:rsidRPr="00FC53F0">
        <w:rPr>
          <w:rFonts w:asciiTheme="minorEastAsia" w:eastAsiaTheme="minorEastAsia" w:hAnsiTheme="minorEastAsia" w:cs="Arial"/>
          <w:sz w:val="21"/>
          <w:szCs w:val="21"/>
        </w:rPr>
        <w:t>黄贤金</w:t>
      </w:r>
      <w:proofErr w:type="gramEnd"/>
      <w:r w:rsidR="0096762A" w:rsidRPr="00FC53F0">
        <w:rPr>
          <w:rFonts w:asciiTheme="minorEastAsia" w:eastAsiaTheme="minorEastAsia" w:hAnsiTheme="minorEastAsia" w:cs="Arial"/>
          <w:sz w:val="21"/>
          <w:szCs w:val="21"/>
        </w:rPr>
        <w:t>.中国耕地资源价值量核算研究[J].农业经济问题,1997(3):40-42.</w:t>
      </w:r>
      <w:r w:rsidRPr="00FC53F0">
        <w:rPr>
          <w:rFonts w:asciiTheme="minorEastAsia" w:eastAsiaTheme="minorEastAsia" w:hAnsiTheme="minorEastAsia"/>
          <w:sz w:val="21"/>
          <w:szCs w:val="21"/>
          <w:shd w:val="clear" w:color="auto" w:fill="FFFFFF"/>
        </w:rPr>
        <w:t xml:space="preserve">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[7]</w:t>
      </w:r>
      <w:proofErr w:type="gramStart"/>
      <w:r w:rsidRPr="00FC53F0">
        <w:rPr>
          <w:rFonts w:asciiTheme="minorEastAsia" w:eastAsiaTheme="minorEastAsia" w:hAnsiTheme="minorEastAsia"/>
          <w:sz w:val="21"/>
          <w:szCs w:val="21"/>
          <w:shd w:val="clear" w:color="auto" w:fill="FFFFFF"/>
        </w:rPr>
        <w:t>申琪</w:t>
      </w:r>
      <w:proofErr w:type="gramEnd"/>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略论农民集体所有建设用地使用权流转价格评估[J].亚热带水土保持</w:t>
      </w:r>
      <w:r w:rsidR="0096762A" w:rsidRPr="00FC53F0">
        <w:rPr>
          <w:rFonts w:asciiTheme="minorEastAsia" w:eastAsiaTheme="minorEastAsia" w:hAnsiTheme="minorEastAsia"/>
          <w:sz w:val="21"/>
          <w:szCs w:val="21"/>
          <w:shd w:val="clear" w:color="auto" w:fill="FFFFFF"/>
        </w:rPr>
        <w:t>,2009,21(</w:t>
      </w:r>
      <w:r w:rsidRPr="00FC53F0">
        <w:rPr>
          <w:rFonts w:asciiTheme="minorEastAsia" w:eastAsiaTheme="minorEastAsia" w:hAnsiTheme="minorEastAsia"/>
          <w:sz w:val="21"/>
          <w:szCs w:val="21"/>
          <w:shd w:val="clear" w:color="auto" w:fill="FFFFFF"/>
        </w:rPr>
        <w:t xml:space="preserve">1): 40-42.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[8]</w:t>
      </w:r>
      <w:proofErr w:type="gramStart"/>
      <w:r w:rsidR="00884E0E" w:rsidRPr="00FC53F0">
        <w:rPr>
          <w:rFonts w:asciiTheme="minorEastAsia" w:eastAsiaTheme="minorEastAsia" w:hAnsiTheme="minorEastAsia"/>
          <w:sz w:val="21"/>
          <w:szCs w:val="21"/>
        </w:rPr>
        <w:t>党青</w:t>
      </w:r>
      <w:proofErr w:type="gramEnd"/>
      <w:r w:rsidR="00884E0E" w:rsidRPr="00FC53F0">
        <w:rPr>
          <w:rFonts w:asciiTheme="minorEastAsia" w:eastAsiaTheme="minorEastAsia" w:hAnsiTheme="minorEastAsia"/>
          <w:sz w:val="21"/>
          <w:szCs w:val="21"/>
        </w:rPr>
        <w:t xml:space="preserve">.农村集体建设用地基准地价测算及其在土地流转中的应用[D].成都:四川师范大学,2010. </w:t>
      </w:r>
      <w:r w:rsidRPr="00FC53F0">
        <w:rPr>
          <w:rFonts w:asciiTheme="minorEastAsia" w:eastAsiaTheme="minorEastAsia" w:hAnsiTheme="minorEastAsia"/>
          <w:sz w:val="21"/>
          <w:szCs w:val="21"/>
          <w:shd w:val="clear" w:color="auto" w:fill="FFFFFF"/>
        </w:rPr>
        <w:t xml:space="preserve">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[9]</w:t>
      </w:r>
      <w:r w:rsidRPr="00FC53F0">
        <w:rPr>
          <w:rFonts w:asciiTheme="minorEastAsia" w:eastAsiaTheme="minorEastAsia" w:hAnsiTheme="minorEastAsia"/>
          <w:sz w:val="21"/>
          <w:szCs w:val="21"/>
          <w:shd w:val="clear" w:color="auto" w:fill="FFFFFF"/>
        </w:rPr>
        <w:t>宫攀</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邢承滨</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农村集体建设用地流转价值评估方法述评</w:t>
      </w:r>
      <w:r w:rsidR="0096762A"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中国农业资源与区划</w:t>
      </w:r>
      <w:r w:rsidR="0096762A" w:rsidRPr="00FC53F0">
        <w:rPr>
          <w:rFonts w:asciiTheme="minorEastAsia" w:eastAsiaTheme="minorEastAsia" w:hAnsiTheme="minorEastAsia"/>
          <w:sz w:val="21"/>
          <w:szCs w:val="21"/>
          <w:shd w:val="clear" w:color="auto" w:fill="FFFFFF"/>
        </w:rPr>
        <w:t>,2015,36(7):</w:t>
      </w:r>
      <w:r w:rsidRPr="00FC53F0">
        <w:rPr>
          <w:rFonts w:asciiTheme="minorEastAsia" w:eastAsiaTheme="minorEastAsia" w:hAnsiTheme="minorEastAsia"/>
          <w:sz w:val="21"/>
          <w:szCs w:val="21"/>
          <w:shd w:val="clear" w:color="auto" w:fill="FFFFFF"/>
        </w:rPr>
        <w:t xml:space="preserve">153-158.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[10]</w:t>
      </w:r>
      <w:r w:rsidR="00884E0E" w:rsidRPr="00FC53F0">
        <w:rPr>
          <w:rFonts w:asciiTheme="minorEastAsia" w:eastAsiaTheme="minorEastAsia" w:hAnsiTheme="minorEastAsia"/>
          <w:sz w:val="21"/>
          <w:szCs w:val="21"/>
        </w:rPr>
        <w:t xml:space="preserve">李茗薇.集体经营性建设用地流转及价格评估研究[D].长春:吉林大学,2017. </w:t>
      </w:r>
      <w:r w:rsidRPr="00FC53F0">
        <w:rPr>
          <w:rFonts w:asciiTheme="minorEastAsia" w:eastAsiaTheme="minorEastAsia" w:hAnsiTheme="minorEastAsia"/>
          <w:sz w:val="21"/>
          <w:szCs w:val="21"/>
          <w:shd w:val="clear" w:color="auto" w:fill="FFFFFF"/>
        </w:rPr>
        <w:t xml:space="preserve">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[11]</w:t>
      </w:r>
      <w:proofErr w:type="gramStart"/>
      <w:r w:rsidR="00884E0E" w:rsidRPr="00FC53F0">
        <w:rPr>
          <w:rFonts w:asciiTheme="minorEastAsia" w:eastAsiaTheme="minorEastAsia" w:hAnsiTheme="minorEastAsia"/>
          <w:sz w:val="21"/>
          <w:szCs w:val="21"/>
        </w:rPr>
        <w:t>齐小军</w:t>
      </w:r>
      <w:proofErr w:type="gramEnd"/>
      <w:r w:rsidR="00884E0E" w:rsidRPr="00FC53F0">
        <w:rPr>
          <w:rFonts w:asciiTheme="minorEastAsia" w:eastAsiaTheme="minorEastAsia" w:hAnsiTheme="minorEastAsia"/>
          <w:sz w:val="21"/>
          <w:szCs w:val="21"/>
        </w:rPr>
        <w:t xml:space="preserve">.农村集体建设用地基准地价评估研究[D].成都:四川师范大学,2009. </w:t>
      </w:r>
      <w:r w:rsidRPr="00FC53F0">
        <w:rPr>
          <w:rFonts w:asciiTheme="minorEastAsia" w:eastAsiaTheme="minorEastAsia" w:hAnsiTheme="minorEastAsia"/>
          <w:sz w:val="21"/>
          <w:szCs w:val="21"/>
          <w:shd w:val="clear" w:color="auto" w:fill="FFFFFF"/>
        </w:rPr>
        <w:t xml:space="preserve">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[12]</w:t>
      </w:r>
      <w:r w:rsidRPr="00FC53F0">
        <w:rPr>
          <w:rFonts w:asciiTheme="minorEastAsia" w:eastAsiaTheme="minorEastAsia" w:hAnsiTheme="minorEastAsia"/>
          <w:sz w:val="21"/>
          <w:szCs w:val="21"/>
          <w:shd w:val="clear" w:color="auto" w:fill="FFFFFF"/>
        </w:rPr>
        <w:t>郭熙保</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王万珺</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土地发展权、农地征用及征地补偿制度</w:t>
      </w:r>
      <w:r w:rsidR="0096762A"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河南社会科学</w:t>
      </w:r>
      <w:r w:rsidR="0096762A" w:rsidRPr="00FC53F0">
        <w:rPr>
          <w:rFonts w:asciiTheme="minorEastAsia" w:eastAsiaTheme="minorEastAsia" w:hAnsiTheme="minorEastAsia"/>
          <w:sz w:val="21"/>
          <w:szCs w:val="21"/>
          <w:shd w:val="clear" w:color="auto" w:fill="FFFFFF"/>
        </w:rPr>
        <w:t>,2006(4):</w:t>
      </w:r>
      <w:r w:rsidRPr="00FC53F0">
        <w:rPr>
          <w:rFonts w:asciiTheme="minorEastAsia" w:eastAsiaTheme="minorEastAsia" w:hAnsiTheme="minorEastAsia"/>
          <w:sz w:val="21"/>
          <w:szCs w:val="21"/>
          <w:shd w:val="clear" w:color="auto" w:fill="FFFFFF"/>
        </w:rPr>
        <w:t xml:space="preserve">18-21.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[13]</w:t>
      </w:r>
      <w:r w:rsidR="00884E0E" w:rsidRPr="00FC53F0">
        <w:rPr>
          <w:rFonts w:asciiTheme="minorEastAsia" w:eastAsiaTheme="minorEastAsia" w:hAnsiTheme="minorEastAsia"/>
          <w:sz w:val="21"/>
          <w:szCs w:val="21"/>
        </w:rPr>
        <w:t>刘国</w:t>
      </w:r>
      <w:proofErr w:type="gramStart"/>
      <w:r w:rsidR="00884E0E" w:rsidRPr="00FC53F0">
        <w:rPr>
          <w:rFonts w:asciiTheme="minorEastAsia" w:eastAsiaTheme="minorEastAsia" w:hAnsiTheme="minorEastAsia"/>
          <w:sz w:val="21"/>
          <w:szCs w:val="21"/>
        </w:rPr>
        <w:t>臻</w:t>
      </w:r>
      <w:proofErr w:type="gramEnd"/>
      <w:r w:rsidR="00884E0E" w:rsidRPr="00FC53F0">
        <w:rPr>
          <w:rFonts w:asciiTheme="minorEastAsia" w:eastAsiaTheme="minorEastAsia" w:hAnsiTheme="minorEastAsia"/>
          <w:sz w:val="21"/>
          <w:szCs w:val="21"/>
        </w:rPr>
        <w:t>.中国土地发展权论纲[J].学术研究,2005(10):64-68</w:t>
      </w:r>
      <w:r w:rsidR="0096762A" w:rsidRPr="00FC53F0">
        <w:rPr>
          <w:rFonts w:asciiTheme="minorEastAsia" w:eastAsiaTheme="minorEastAsia" w:hAnsiTheme="minorEastAsia" w:hint="eastAsia"/>
          <w:sz w:val="21"/>
          <w:szCs w:val="21"/>
        </w:rPr>
        <w:t>，</w:t>
      </w:r>
      <w:r w:rsidR="00884E0E" w:rsidRPr="00FC53F0">
        <w:rPr>
          <w:rFonts w:asciiTheme="minorEastAsia" w:eastAsiaTheme="minorEastAsia" w:hAnsiTheme="minorEastAsia"/>
          <w:sz w:val="21"/>
          <w:szCs w:val="21"/>
        </w:rPr>
        <w:t>148.</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[14]</w:t>
      </w:r>
      <w:r w:rsidR="00884E0E" w:rsidRPr="00FC53F0">
        <w:rPr>
          <w:rFonts w:asciiTheme="minorEastAsia" w:eastAsiaTheme="minorEastAsia" w:hAnsiTheme="minorEastAsia"/>
          <w:sz w:val="21"/>
          <w:szCs w:val="21"/>
        </w:rPr>
        <w:t>季禾禾,周生路,冯昌中.试论我国农地发展权定位及农民分享实现[J].经济地理,2005(2):149-151</w:t>
      </w:r>
      <w:r w:rsidR="0096762A" w:rsidRPr="00FC53F0">
        <w:rPr>
          <w:rFonts w:asciiTheme="minorEastAsia" w:eastAsiaTheme="minorEastAsia" w:hAnsiTheme="minorEastAsia" w:hint="eastAsia"/>
          <w:sz w:val="21"/>
          <w:szCs w:val="21"/>
        </w:rPr>
        <w:t>，</w:t>
      </w:r>
      <w:r w:rsidR="00884E0E" w:rsidRPr="00FC53F0">
        <w:rPr>
          <w:rFonts w:asciiTheme="minorEastAsia" w:eastAsiaTheme="minorEastAsia" w:hAnsiTheme="minorEastAsia"/>
          <w:sz w:val="21"/>
          <w:szCs w:val="21"/>
        </w:rPr>
        <w:t>155.</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lastRenderedPageBreak/>
        <w:t>[15]</w:t>
      </w:r>
      <w:r w:rsidRPr="00FC53F0">
        <w:rPr>
          <w:rFonts w:asciiTheme="minorEastAsia" w:eastAsiaTheme="minorEastAsia" w:hAnsiTheme="minorEastAsia"/>
          <w:sz w:val="21"/>
          <w:szCs w:val="21"/>
          <w:shd w:val="clear" w:color="auto" w:fill="FFFFFF"/>
        </w:rPr>
        <w:t>郜永昌</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土地发展</w:t>
      </w:r>
      <w:proofErr w:type="gramStart"/>
      <w:r w:rsidRPr="00FC53F0">
        <w:rPr>
          <w:rFonts w:asciiTheme="minorEastAsia" w:eastAsiaTheme="minorEastAsia" w:hAnsiTheme="minorEastAsia"/>
          <w:sz w:val="21"/>
          <w:szCs w:val="21"/>
          <w:shd w:val="clear" w:color="auto" w:fill="FFFFFF"/>
        </w:rPr>
        <w:t>权损失</w:t>
      </w:r>
      <w:proofErr w:type="gramEnd"/>
      <w:r w:rsidRPr="00FC53F0">
        <w:rPr>
          <w:rFonts w:asciiTheme="minorEastAsia" w:eastAsiaTheme="minorEastAsia" w:hAnsiTheme="minorEastAsia"/>
          <w:sz w:val="21"/>
          <w:szCs w:val="21"/>
          <w:shd w:val="clear" w:color="auto" w:fill="FFFFFF"/>
        </w:rPr>
        <w:t>补偿的制度分析及对策</w:t>
      </w:r>
      <w:r w:rsidR="0096762A"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社会科学家</w:t>
      </w:r>
      <w:r w:rsidR="0096762A" w:rsidRPr="00FC53F0">
        <w:rPr>
          <w:rFonts w:asciiTheme="minorEastAsia" w:eastAsiaTheme="minorEastAsia" w:hAnsiTheme="minorEastAsia"/>
          <w:sz w:val="21"/>
          <w:szCs w:val="21"/>
          <w:shd w:val="clear" w:color="auto" w:fill="FFFFFF"/>
        </w:rPr>
        <w:t>,2009(11):</w:t>
      </w:r>
      <w:r w:rsidRPr="00FC53F0">
        <w:rPr>
          <w:rFonts w:asciiTheme="minorEastAsia" w:eastAsiaTheme="minorEastAsia" w:hAnsiTheme="minorEastAsia"/>
          <w:sz w:val="21"/>
          <w:szCs w:val="21"/>
          <w:shd w:val="clear" w:color="auto" w:fill="FFFFFF"/>
        </w:rPr>
        <w:t xml:space="preserve">78-81.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[16]</w:t>
      </w:r>
      <w:r w:rsidR="0096762A" w:rsidRPr="00FC53F0">
        <w:rPr>
          <w:rFonts w:asciiTheme="minorEastAsia" w:eastAsiaTheme="minorEastAsia" w:hAnsiTheme="minorEastAsia" w:cs="Arial"/>
          <w:sz w:val="21"/>
          <w:szCs w:val="21"/>
        </w:rPr>
        <w:t>侯华丽,</w:t>
      </w:r>
      <w:proofErr w:type="gramStart"/>
      <w:r w:rsidR="0096762A" w:rsidRPr="00FC53F0">
        <w:rPr>
          <w:rFonts w:asciiTheme="minorEastAsia" w:eastAsiaTheme="minorEastAsia" w:hAnsiTheme="minorEastAsia" w:cs="Arial"/>
          <w:sz w:val="21"/>
          <w:szCs w:val="21"/>
        </w:rPr>
        <w:t>杜舰</w:t>
      </w:r>
      <w:proofErr w:type="gramEnd"/>
      <w:r w:rsidR="0096762A" w:rsidRPr="00FC53F0">
        <w:rPr>
          <w:rFonts w:asciiTheme="minorEastAsia" w:eastAsiaTheme="minorEastAsia" w:hAnsiTheme="minorEastAsia" w:cs="Arial"/>
          <w:sz w:val="21"/>
          <w:szCs w:val="21"/>
        </w:rPr>
        <w:t>.土地发展权与农民权益的维护[J].农村经济,2005(11):80-81.</w:t>
      </w:r>
      <w:r w:rsidRPr="00FC53F0">
        <w:rPr>
          <w:rFonts w:asciiTheme="minorEastAsia" w:eastAsiaTheme="minorEastAsia" w:hAnsiTheme="minorEastAsia"/>
          <w:sz w:val="21"/>
          <w:szCs w:val="21"/>
          <w:shd w:val="clear" w:color="auto" w:fill="FFFFFF"/>
        </w:rPr>
        <w:t xml:space="preserve">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[17]</w:t>
      </w:r>
      <w:r w:rsidR="00884E0E" w:rsidRPr="00FC53F0">
        <w:rPr>
          <w:rFonts w:asciiTheme="minorEastAsia" w:eastAsiaTheme="minorEastAsia" w:hAnsiTheme="minorEastAsia"/>
          <w:sz w:val="21"/>
          <w:szCs w:val="21"/>
        </w:rPr>
        <w:t>徐小峰.城乡建设用地增减</w:t>
      </w:r>
      <w:proofErr w:type="gramStart"/>
      <w:r w:rsidR="00884E0E" w:rsidRPr="00FC53F0">
        <w:rPr>
          <w:rFonts w:asciiTheme="minorEastAsia" w:eastAsiaTheme="minorEastAsia" w:hAnsiTheme="minorEastAsia"/>
          <w:sz w:val="21"/>
          <w:szCs w:val="21"/>
        </w:rPr>
        <w:t>挂钩区</w:t>
      </w:r>
      <w:proofErr w:type="gramEnd"/>
      <w:r w:rsidR="00884E0E" w:rsidRPr="00FC53F0">
        <w:rPr>
          <w:rFonts w:asciiTheme="minorEastAsia" w:eastAsiaTheme="minorEastAsia" w:hAnsiTheme="minorEastAsia"/>
          <w:sz w:val="21"/>
          <w:szCs w:val="21"/>
        </w:rPr>
        <w:t>农村宅基地退出补偿研究[D].武汉:华中农业大学,2012.</w:t>
      </w:r>
    </w:p>
    <w:p w:rsidR="004934E3" w:rsidRPr="00FC53F0" w:rsidRDefault="0071268E" w:rsidP="0096762A">
      <w:pPr>
        <w:pStyle w:val="af9"/>
        <w:spacing w:line="336" w:lineRule="atLeast"/>
        <w:rPr>
          <w:rFonts w:asciiTheme="minorEastAsia" w:eastAsiaTheme="minorEastAsia" w:hAnsiTheme="minorEastAsia"/>
          <w:sz w:val="21"/>
          <w:szCs w:val="21"/>
        </w:rPr>
      </w:pPr>
      <w:r w:rsidRPr="00FC53F0">
        <w:rPr>
          <w:rFonts w:asciiTheme="minorEastAsia" w:eastAsiaTheme="minorEastAsia" w:hAnsiTheme="minorEastAsia" w:hint="eastAsia"/>
          <w:sz w:val="21"/>
          <w:szCs w:val="21"/>
          <w:shd w:val="clear" w:color="auto" w:fill="FFFFFF"/>
        </w:rPr>
        <w:t>[18]</w:t>
      </w:r>
      <w:r w:rsidR="004934E3" w:rsidRPr="00FC53F0">
        <w:rPr>
          <w:rFonts w:asciiTheme="minorEastAsia" w:eastAsiaTheme="minorEastAsia" w:hAnsiTheme="minorEastAsia"/>
          <w:sz w:val="21"/>
          <w:szCs w:val="21"/>
        </w:rPr>
        <w:t xml:space="preserve">陈立本.集体建设用地定级估价研究[D].开封:河南大学,2009.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[19]</w:t>
      </w:r>
      <w:r w:rsidRPr="00FC53F0">
        <w:rPr>
          <w:rFonts w:asciiTheme="minorEastAsia" w:eastAsiaTheme="minorEastAsia" w:hAnsiTheme="minorEastAsia"/>
          <w:sz w:val="21"/>
          <w:szCs w:val="21"/>
          <w:shd w:val="clear" w:color="auto" w:fill="FFFFFF"/>
        </w:rPr>
        <w:t>单胜道</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蔡国平</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不同的土地评估法及其在农地评估中的应用</w:t>
      </w:r>
      <w:r w:rsidR="0096762A"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农业经济问题</w:t>
      </w:r>
      <w:r w:rsidR="0096762A" w:rsidRPr="00FC53F0">
        <w:rPr>
          <w:rFonts w:asciiTheme="minorEastAsia" w:eastAsiaTheme="minorEastAsia" w:hAnsiTheme="minorEastAsia"/>
          <w:sz w:val="21"/>
          <w:szCs w:val="21"/>
          <w:shd w:val="clear" w:color="auto" w:fill="FFFFFF"/>
        </w:rPr>
        <w:t>,1999(</w:t>
      </w:r>
      <w:r w:rsidRPr="00FC53F0">
        <w:rPr>
          <w:rFonts w:asciiTheme="minorEastAsia" w:eastAsiaTheme="minorEastAsia" w:hAnsiTheme="minorEastAsia"/>
          <w:sz w:val="21"/>
          <w:szCs w:val="21"/>
          <w:shd w:val="clear" w:color="auto" w:fill="FFFFFF"/>
        </w:rPr>
        <w:t>1): 3-5.</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[20]</w:t>
      </w:r>
      <w:r w:rsidRPr="00FC53F0">
        <w:rPr>
          <w:rFonts w:asciiTheme="minorEastAsia" w:eastAsiaTheme="minorEastAsia" w:hAnsiTheme="minorEastAsia"/>
          <w:sz w:val="21"/>
          <w:szCs w:val="21"/>
          <w:shd w:val="clear" w:color="auto" w:fill="FFFFFF"/>
        </w:rPr>
        <w:t>陈丹怡</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集体建设用地基准地价评估的问题探讨</w:t>
      </w:r>
      <w:r w:rsidR="0096762A"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住宅与房地产</w:t>
      </w:r>
      <w:r w:rsidR="0096762A" w:rsidRPr="00FC53F0">
        <w:rPr>
          <w:rFonts w:asciiTheme="minorEastAsia" w:eastAsiaTheme="minorEastAsia" w:hAnsiTheme="minorEastAsia"/>
          <w:sz w:val="21"/>
          <w:szCs w:val="21"/>
          <w:shd w:val="clear" w:color="auto" w:fill="FFFFFF"/>
        </w:rPr>
        <w:t>,2019(18):6,</w:t>
      </w:r>
      <w:r w:rsidRPr="00FC53F0">
        <w:rPr>
          <w:rFonts w:asciiTheme="minorEastAsia" w:eastAsiaTheme="minorEastAsia" w:hAnsiTheme="minorEastAsia"/>
          <w:sz w:val="21"/>
          <w:szCs w:val="21"/>
          <w:shd w:val="clear" w:color="auto" w:fill="FFFFFF"/>
        </w:rPr>
        <w:t xml:space="preserve">31.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[21]</w:t>
      </w:r>
      <w:r w:rsidRPr="00FC53F0">
        <w:rPr>
          <w:rFonts w:asciiTheme="minorEastAsia" w:eastAsiaTheme="minorEastAsia" w:hAnsiTheme="minorEastAsia"/>
          <w:sz w:val="21"/>
          <w:szCs w:val="21"/>
          <w:shd w:val="clear" w:color="auto" w:fill="FFFFFF"/>
        </w:rPr>
        <w:t>赵松</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集体建设用地基准地价体系建设的特征</w:t>
      </w:r>
      <w:r w:rsidR="0096762A"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中国土地</w:t>
      </w:r>
      <w:r w:rsidR="0096762A" w:rsidRPr="00FC53F0">
        <w:rPr>
          <w:rFonts w:asciiTheme="minorEastAsia" w:eastAsiaTheme="minorEastAsia" w:hAnsiTheme="minorEastAsia"/>
          <w:sz w:val="21"/>
          <w:szCs w:val="21"/>
          <w:shd w:val="clear" w:color="auto" w:fill="FFFFFF"/>
        </w:rPr>
        <w:t>,2018(9):</w:t>
      </w:r>
      <w:r w:rsidRPr="00FC53F0">
        <w:rPr>
          <w:rFonts w:asciiTheme="minorEastAsia" w:eastAsiaTheme="minorEastAsia" w:hAnsiTheme="minorEastAsia"/>
          <w:sz w:val="21"/>
          <w:szCs w:val="21"/>
          <w:shd w:val="clear" w:color="auto" w:fill="FFFFFF"/>
        </w:rPr>
        <w:t xml:space="preserve">12-14.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[22]</w:t>
      </w:r>
      <w:r w:rsidR="004934E3" w:rsidRPr="00FC53F0">
        <w:rPr>
          <w:rFonts w:asciiTheme="minorEastAsia" w:eastAsiaTheme="minorEastAsia" w:hAnsiTheme="minorEastAsia"/>
          <w:sz w:val="21"/>
          <w:szCs w:val="21"/>
        </w:rPr>
        <w:t xml:space="preserve">杨建波,王令超,李永明,等.修正法评估集体建设用地基准地价方法研究[J].干旱区资源与环境,2013,27(12):25-29. </w:t>
      </w:r>
      <w:r w:rsidRPr="00FC53F0">
        <w:rPr>
          <w:rFonts w:asciiTheme="minorEastAsia" w:eastAsiaTheme="minorEastAsia" w:hAnsiTheme="minorEastAsia"/>
          <w:sz w:val="21"/>
          <w:szCs w:val="21"/>
          <w:shd w:val="clear" w:color="auto" w:fill="FFFFFF"/>
        </w:rPr>
        <w:t xml:space="preserve">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[23]</w:t>
      </w:r>
      <w:proofErr w:type="gramStart"/>
      <w:r w:rsidRPr="00FC53F0">
        <w:rPr>
          <w:rFonts w:asciiTheme="minorEastAsia" w:eastAsiaTheme="minorEastAsia" w:hAnsiTheme="minorEastAsia"/>
          <w:sz w:val="21"/>
          <w:szCs w:val="21"/>
          <w:shd w:val="clear" w:color="auto" w:fill="FFFFFF"/>
        </w:rPr>
        <w:t>揣小伟</w:t>
      </w:r>
      <w:proofErr w:type="gramEnd"/>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黄贤金</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许益林</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农村集体建设用地基准地价初步研究</w:t>
      </w:r>
      <w:r w:rsidR="0096762A"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sz w:val="21"/>
          <w:szCs w:val="21"/>
          <w:shd w:val="clear" w:color="auto" w:fill="FFFFFF"/>
        </w:rPr>
        <w:t>以安徽省良玉村为例</w:t>
      </w:r>
      <w:r w:rsidR="0096762A"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经济地理</w:t>
      </w:r>
      <w:r w:rsidR="0096762A" w:rsidRPr="00FC53F0">
        <w:rPr>
          <w:rFonts w:asciiTheme="minorEastAsia" w:eastAsiaTheme="minorEastAsia" w:hAnsiTheme="minorEastAsia"/>
          <w:sz w:val="21"/>
          <w:szCs w:val="21"/>
          <w:shd w:val="clear" w:color="auto" w:fill="FFFFFF"/>
        </w:rPr>
        <w:t>,2012,32(2):</w:t>
      </w:r>
      <w:r w:rsidRPr="00FC53F0">
        <w:rPr>
          <w:rFonts w:asciiTheme="minorEastAsia" w:eastAsiaTheme="minorEastAsia" w:hAnsiTheme="minorEastAsia"/>
          <w:sz w:val="21"/>
          <w:szCs w:val="21"/>
          <w:shd w:val="clear" w:color="auto" w:fill="FFFFFF"/>
        </w:rPr>
        <w:t>121-126.</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[24]</w:t>
      </w:r>
      <w:r w:rsidRPr="00FC53F0">
        <w:rPr>
          <w:rFonts w:asciiTheme="minorEastAsia" w:eastAsiaTheme="minorEastAsia" w:hAnsiTheme="minorEastAsia"/>
          <w:sz w:val="21"/>
          <w:szCs w:val="21"/>
          <w:shd w:val="clear" w:color="auto" w:fill="FFFFFF"/>
        </w:rPr>
        <w:t>叶兴庆.扩大农村集体产权结构开放性必须迈过三道坎</w:t>
      </w:r>
      <w:r w:rsidR="0096762A"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中国农村观察</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2</w:t>
      </w:r>
      <w:r w:rsidR="0096762A" w:rsidRPr="00FC53F0">
        <w:rPr>
          <w:rFonts w:asciiTheme="minorEastAsia" w:eastAsiaTheme="minorEastAsia" w:hAnsiTheme="minorEastAsia"/>
          <w:sz w:val="21"/>
          <w:szCs w:val="21"/>
          <w:shd w:val="clear" w:color="auto" w:fill="FFFFFF"/>
        </w:rPr>
        <w:t>019(3):</w:t>
      </w:r>
      <w:r w:rsidRPr="00FC53F0">
        <w:rPr>
          <w:rFonts w:asciiTheme="minorEastAsia" w:eastAsiaTheme="minorEastAsia" w:hAnsiTheme="minorEastAsia"/>
          <w:sz w:val="21"/>
          <w:szCs w:val="21"/>
          <w:shd w:val="clear" w:color="auto" w:fill="FFFFFF"/>
        </w:rPr>
        <w:t>2-11.</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[25]</w:t>
      </w:r>
      <w:r w:rsidR="004934E3" w:rsidRPr="00FC53F0">
        <w:rPr>
          <w:rFonts w:asciiTheme="minorEastAsia" w:eastAsiaTheme="minorEastAsia" w:hAnsiTheme="minorEastAsia"/>
          <w:sz w:val="21"/>
          <w:szCs w:val="21"/>
        </w:rPr>
        <w:t>黄雪芸.集体建设用地土地定级与基准地价评估方法研究[D].南京:南京师范大学,2015.</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[26]</w:t>
      </w:r>
      <w:r w:rsidRPr="00FC53F0">
        <w:rPr>
          <w:rFonts w:asciiTheme="minorEastAsia" w:eastAsiaTheme="minorEastAsia" w:hAnsiTheme="minorEastAsia"/>
          <w:sz w:val="21"/>
          <w:szCs w:val="21"/>
          <w:shd w:val="clear" w:color="auto" w:fill="FFFFFF"/>
        </w:rPr>
        <w:t>蔡继明</w:t>
      </w:r>
      <w:r w:rsidR="00123FA4"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程</w:t>
      </w:r>
      <w:proofErr w:type="gramStart"/>
      <w:r w:rsidRPr="00FC53F0">
        <w:rPr>
          <w:rFonts w:asciiTheme="minorEastAsia" w:eastAsiaTheme="minorEastAsia" w:hAnsiTheme="minorEastAsia"/>
          <w:sz w:val="21"/>
          <w:szCs w:val="21"/>
          <w:shd w:val="clear" w:color="auto" w:fill="FFFFFF"/>
        </w:rPr>
        <w:t>世</w:t>
      </w:r>
      <w:proofErr w:type="gramEnd"/>
      <w:r w:rsidRPr="00FC53F0">
        <w:rPr>
          <w:rFonts w:asciiTheme="minorEastAsia" w:eastAsiaTheme="minorEastAsia" w:hAnsiTheme="minorEastAsia"/>
          <w:sz w:val="21"/>
          <w:szCs w:val="21"/>
          <w:shd w:val="clear" w:color="auto" w:fill="FFFFFF"/>
        </w:rPr>
        <w:t>勇</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地价双向垄断与土地资源配置扭曲</w:t>
      </w:r>
      <w:r w:rsidR="0096762A"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经济学动态</w:t>
      </w:r>
      <w:r w:rsidR="0096762A"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 xml:space="preserve">2010(11):75-80.  </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[27]</w:t>
      </w:r>
      <w:r w:rsidRPr="00FC53F0">
        <w:rPr>
          <w:rFonts w:asciiTheme="minorEastAsia" w:eastAsiaTheme="minorEastAsia" w:hAnsiTheme="minorEastAsia"/>
          <w:sz w:val="21"/>
          <w:szCs w:val="21"/>
          <w:shd w:val="clear" w:color="auto" w:fill="FFFFFF"/>
        </w:rPr>
        <w:t>徐启薇</w:t>
      </w:r>
      <w:r w:rsidR="009504D4"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冯友建</w:t>
      </w:r>
      <w:r w:rsidR="009504D4"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基于权能修正的集体建设用地基准地价评估方法</w:t>
      </w:r>
      <w:r w:rsidR="00123FA4"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现代商业</w:t>
      </w:r>
      <w:r w:rsidR="00123FA4" w:rsidRPr="00FC53F0">
        <w:rPr>
          <w:rFonts w:asciiTheme="minorEastAsia" w:eastAsiaTheme="minorEastAsia" w:hAnsiTheme="minorEastAsia"/>
          <w:sz w:val="21"/>
          <w:szCs w:val="21"/>
          <w:shd w:val="clear" w:color="auto" w:fill="FFFFFF"/>
        </w:rPr>
        <w:t>,2019(35):</w:t>
      </w:r>
      <w:r w:rsidRPr="00FC53F0">
        <w:rPr>
          <w:rFonts w:asciiTheme="minorEastAsia" w:eastAsiaTheme="minorEastAsia" w:hAnsiTheme="minorEastAsia"/>
          <w:sz w:val="21"/>
          <w:szCs w:val="21"/>
          <w:shd w:val="clear" w:color="auto" w:fill="FFFFFF"/>
        </w:rPr>
        <w:t>94-96.</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[28]</w:t>
      </w:r>
      <w:proofErr w:type="gramStart"/>
      <w:r w:rsidR="004934E3" w:rsidRPr="00FC53F0">
        <w:rPr>
          <w:rFonts w:asciiTheme="minorEastAsia" w:eastAsiaTheme="minorEastAsia" w:hAnsiTheme="minorEastAsia"/>
          <w:sz w:val="21"/>
          <w:szCs w:val="21"/>
        </w:rPr>
        <w:t>丁同玉</w:t>
      </w:r>
      <w:proofErr w:type="gramEnd"/>
      <w:r w:rsidR="004934E3" w:rsidRPr="00FC53F0">
        <w:rPr>
          <w:rFonts w:asciiTheme="minorEastAsia" w:eastAsiaTheme="minorEastAsia" w:hAnsiTheme="minorEastAsia"/>
          <w:sz w:val="21"/>
          <w:szCs w:val="21"/>
        </w:rPr>
        <w:t>.集体与国有两类建设用地“同地同权同价”不可能原理及其政策涵义[D].杭州:浙江大学,2012.</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[29]</w:t>
      </w:r>
      <w:r w:rsidRPr="00FC53F0">
        <w:rPr>
          <w:rFonts w:asciiTheme="minorEastAsia" w:eastAsiaTheme="minorEastAsia" w:hAnsiTheme="minorEastAsia"/>
          <w:sz w:val="21"/>
          <w:szCs w:val="21"/>
          <w:shd w:val="clear" w:color="auto" w:fill="FFFFFF"/>
        </w:rPr>
        <w:t>中华人民共和国</w:t>
      </w:r>
      <w:r w:rsidR="001F28DA" w:rsidRPr="00FC53F0">
        <w:rPr>
          <w:rFonts w:asciiTheme="minorEastAsia" w:eastAsiaTheme="minorEastAsia" w:hAnsiTheme="minorEastAsia" w:hint="eastAsia"/>
          <w:sz w:val="21"/>
          <w:szCs w:val="21"/>
          <w:shd w:val="clear" w:color="auto" w:fill="FFFFFF"/>
        </w:rPr>
        <w:t>国家质量监督检验检疫总局，中国国家标准化管理委员会.</w:t>
      </w:r>
      <w:r w:rsidRPr="00FC53F0">
        <w:rPr>
          <w:rFonts w:asciiTheme="minorEastAsia" w:eastAsiaTheme="minorEastAsia" w:hAnsiTheme="minorEastAsia"/>
          <w:sz w:val="21"/>
          <w:szCs w:val="21"/>
          <w:shd w:val="clear" w:color="auto" w:fill="FFFFFF"/>
        </w:rPr>
        <w:t>城镇土地</w:t>
      </w:r>
      <w:r w:rsidRPr="00FC53F0">
        <w:rPr>
          <w:rFonts w:asciiTheme="minorEastAsia" w:eastAsiaTheme="minorEastAsia" w:hAnsiTheme="minorEastAsia" w:hint="eastAsia"/>
          <w:sz w:val="21"/>
          <w:szCs w:val="21"/>
          <w:shd w:val="clear" w:color="auto" w:fill="FFFFFF"/>
        </w:rPr>
        <w:t>估价</w:t>
      </w:r>
      <w:r w:rsidR="00123FA4" w:rsidRPr="00FC53F0">
        <w:rPr>
          <w:rFonts w:asciiTheme="minorEastAsia" w:eastAsiaTheme="minorEastAsia" w:hAnsiTheme="minorEastAsia"/>
          <w:sz w:val="21"/>
          <w:szCs w:val="21"/>
          <w:shd w:val="clear" w:color="auto" w:fill="FFFFFF"/>
        </w:rPr>
        <w:t>规程</w:t>
      </w:r>
      <w:r w:rsidR="001F28DA" w:rsidRPr="00FC53F0">
        <w:rPr>
          <w:rFonts w:asciiTheme="minorEastAsia" w:eastAsiaTheme="minorEastAsia" w:hAnsiTheme="minorEastAsia" w:hint="eastAsia"/>
          <w:sz w:val="21"/>
          <w:szCs w:val="21"/>
          <w:shd w:val="clear" w:color="auto" w:fill="FFFFFF"/>
        </w:rPr>
        <w:t>:</w:t>
      </w:r>
      <w:r w:rsidR="001F28DA" w:rsidRPr="00FC53F0">
        <w:rPr>
          <w:rFonts w:asciiTheme="minorEastAsia" w:eastAsiaTheme="minorEastAsia" w:hAnsiTheme="minorEastAsia"/>
          <w:sz w:val="21"/>
          <w:szCs w:val="21"/>
          <w:shd w:val="clear" w:color="auto" w:fill="FFFFFF"/>
        </w:rPr>
        <w:t>GB/T 18508-2014</w:t>
      </w:r>
      <w:r w:rsidR="00123FA4" w:rsidRPr="00FC53F0">
        <w:rPr>
          <w:rFonts w:asciiTheme="minorEastAsia" w:eastAsiaTheme="minorEastAsia" w:hAnsiTheme="minorEastAsia"/>
          <w:sz w:val="21"/>
          <w:szCs w:val="21"/>
        </w:rPr>
        <w:t>[</w:t>
      </w:r>
      <w:r w:rsidR="001F28DA" w:rsidRPr="00FC53F0">
        <w:rPr>
          <w:rFonts w:asciiTheme="minorEastAsia" w:eastAsiaTheme="minorEastAsia" w:hAnsiTheme="minorEastAsia"/>
          <w:sz w:val="21"/>
          <w:szCs w:val="21"/>
        </w:rPr>
        <w:t>S</w:t>
      </w:r>
      <w:r w:rsidR="00123FA4" w:rsidRPr="00FC53F0">
        <w:rPr>
          <w:rFonts w:asciiTheme="minorEastAsia" w:eastAsiaTheme="minorEastAsia" w:hAnsiTheme="minorEastAsia"/>
          <w:sz w:val="21"/>
          <w:szCs w:val="21"/>
        </w:rPr>
        <w:t>]</w:t>
      </w:r>
      <w:r w:rsidR="00123FA4"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北京</w:t>
      </w:r>
      <w:r w:rsidR="00123FA4"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中国标准出版社</w:t>
      </w:r>
      <w:r w:rsidR="00123FA4"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2014.</w:t>
      </w:r>
    </w:p>
    <w:p w:rsidR="00F5516E" w:rsidRPr="00FC53F0" w:rsidRDefault="00123FA4"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[30]</w:t>
      </w:r>
      <w:r w:rsidR="0071268E" w:rsidRPr="00FC53F0">
        <w:rPr>
          <w:rFonts w:asciiTheme="minorEastAsia" w:eastAsiaTheme="minorEastAsia" w:hAnsiTheme="minorEastAsia"/>
          <w:sz w:val="21"/>
          <w:szCs w:val="21"/>
          <w:shd w:val="clear" w:color="auto" w:fill="FFFFFF"/>
        </w:rPr>
        <w:t>王令超</w:t>
      </w:r>
      <w:r w:rsidRPr="00FC53F0">
        <w:rPr>
          <w:rFonts w:asciiTheme="minorEastAsia" w:eastAsiaTheme="minorEastAsia" w:hAnsiTheme="minorEastAsia"/>
          <w:sz w:val="21"/>
          <w:szCs w:val="21"/>
          <w:shd w:val="clear" w:color="auto" w:fill="FFFFFF"/>
        </w:rPr>
        <w:t>,</w:t>
      </w:r>
      <w:r w:rsidR="0071268E" w:rsidRPr="00FC53F0">
        <w:rPr>
          <w:rFonts w:asciiTheme="minorEastAsia" w:eastAsiaTheme="minorEastAsia" w:hAnsiTheme="minorEastAsia"/>
          <w:sz w:val="21"/>
          <w:szCs w:val="21"/>
          <w:shd w:val="clear" w:color="auto" w:fill="FFFFFF"/>
        </w:rPr>
        <w:t>杨建波</w:t>
      </w:r>
      <w:r w:rsidRPr="00FC53F0">
        <w:rPr>
          <w:rFonts w:asciiTheme="minorEastAsia" w:eastAsiaTheme="minorEastAsia" w:hAnsiTheme="minorEastAsia"/>
          <w:sz w:val="21"/>
          <w:szCs w:val="21"/>
          <w:shd w:val="clear" w:color="auto" w:fill="FFFFFF"/>
        </w:rPr>
        <w:t>,</w:t>
      </w:r>
      <w:r w:rsidR="0071268E" w:rsidRPr="00FC53F0">
        <w:rPr>
          <w:rFonts w:asciiTheme="minorEastAsia" w:eastAsiaTheme="minorEastAsia" w:hAnsiTheme="minorEastAsia"/>
          <w:sz w:val="21"/>
          <w:szCs w:val="21"/>
          <w:shd w:val="clear" w:color="auto" w:fill="FFFFFF"/>
        </w:rPr>
        <w:t>李永明</w:t>
      </w:r>
      <w:r w:rsidRPr="00FC53F0">
        <w:rPr>
          <w:rFonts w:asciiTheme="minorEastAsia" w:eastAsiaTheme="minorEastAsia" w:hAnsiTheme="minorEastAsia" w:hint="eastAsia"/>
          <w:sz w:val="21"/>
          <w:szCs w:val="21"/>
          <w:shd w:val="clear" w:color="auto" w:fill="FFFFFF"/>
        </w:rPr>
        <w:t>，</w:t>
      </w:r>
      <w:r w:rsidR="0071268E" w:rsidRPr="00FC53F0">
        <w:rPr>
          <w:rFonts w:asciiTheme="minorEastAsia" w:eastAsiaTheme="minorEastAsia" w:hAnsiTheme="minorEastAsia"/>
          <w:sz w:val="21"/>
          <w:szCs w:val="21"/>
          <w:shd w:val="clear" w:color="auto" w:fill="FFFFFF"/>
        </w:rPr>
        <w:t>等</w:t>
      </w:r>
      <w:r w:rsidRPr="00FC53F0">
        <w:rPr>
          <w:rFonts w:asciiTheme="minorEastAsia" w:eastAsiaTheme="minorEastAsia" w:hAnsiTheme="minorEastAsia"/>
          <w:sz w:val="21"/>
          <w:szCs w:val="21"/>
          <w:shd w:val="clear" w:color="auto" w:fill="FFFFFF"/>
        </w:rPr>
        <w:t>.</w:t>
      </w:r>
      <w:r w:rsidR="0071268E" w:rsidRPr="00FC53F0">
        <w:rPr>
          <w:rFonts w:asciiTheme="minorEastAsia" w:eastAsiaTheme="minorEastAsia" w:hAnsiTheme="minorEastAsia"/>
          <w:sz w:val="21"/>
          <w:szCs w:val="21"/>
          <w:shd w:val="clear" w:color="auto" w:fill="FFFFFF"/>
        </w:rPr>
        <w:t>基于修正法的集体建设用地基准地价评估探讨</w:t>
      </w:r>
      <w:r w:rsidRPr="00FC53F0">
        <w:rPr>
          <w:rFonts w:asciiTheme="minorEastAsia" w:eastAsiaTheme="minorEastAsia" w:hAnsiTheme="minorEastAsia"/>
          <w:sz w:val="21"/>
          <w:szCs w:val="21"/>
          <w:shd w:val="clear" w:color="auto" w:fill="FFFFFF"/>
        </w:rPr>
        <w:t>[J].</w:t>
      </w:r>
      <w:r w:rsidR="0071268E" w:rsidRPr="00FC53F0">
        <w:rPr>
          <w:rFonts w:asciiTheme="minorEastAsia" w:eastAsiaTheme="minorEastAsia" w:hAnsiTheme="minorEastAsia"/>
          <w:sz w:val="21"/>
          <w:szCs w:val="21"/>
          <w:shd w:val="clear" w:color="auto" w:fill="FFFFFF"/>
        </w:rPr>
        <w:t>中国农学通报</w:t>
      </w:r>
      <w:r w:rsidRPr="00FC53F0">
        <w:rPr>
          <w:rFonts w:asciiTheme="minorEastAsia" w:eastAsiaTheme="minorEastAsia" w:hAnsiTheme="minorEastAsia"/>
          <w:sz w:val="21"/>
          <w:szCs w:val="21"/>
          <w:shd w:val="clear" w:color="auto" w:fill="FFFFFF"/>
        </w:rPr>
        <w:t>,2013,29(14):</w:t>
      </w:r>
      <w:r w:rsidR="0071268E" w:rsidRPr="00FC53F0">
        <w:rPr>
          <w:rFonts w:asciiTheme="minorEastAsia" w:eastAsiaTheme="minorEastAsia" w:hAnsiTheme="minorEastAsia"/>
          <w:sz w:val="21"/>
          <w:szCs w:val="21"/>
          <w:shd w:val="clear" w:color="auto" w:fill="FFFFFF"/>
        </w:rPr>
        <w:t>75-80.</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[31]</w:t>
      </w:r>
      <w:r w:rsidRPr="00FC53F0">
        <w:rPr>
          <w:rFonts w:asciiTheme="minorEastAsia" w:eastAsiaTheme="minorEastAsia" w:hAnsiTheme="minorEastAsia"/>
          <w:sz w:val="21"/>
          <w:szCs w:val="21"/>
          <w:shd w:val="clear" w:color="auto" w:fill="FFFFFF"/>
        </w:rPr>
        <w:t>靳相木</w:t>
      </w:r>
      <w:r w:rsidR="00123FA4"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集体与国有土地“同权同价”的科学内涵及其实现</w:t>
      </w:r>
      <w:r w:rsidR="00123FA4"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农业经济问题</w:t>
      </w:r>
      <w:r w:rsidR="00123FA4" w:rsidRPr="00FC53F0">
        <w:rPr>
          <w:rFonts w:asciiTheme="minorEastAsia" w:eastAsiaTheme="minorEastAsia" w:hAnsiTheme="minorEastAsia"/>
          <w:sz w:val="21"/>
          <w:szCs w:val="21"/>
          <w:shd w:val="clear" w:color="auto" w:fill="FFFFFF"/>
        </w:rPr>
        <w:t>,2017,38(9):</w:t>
      </w:r>
      <w:r w:rsidRPr="00FC53F0">
        <w:rPr>
          <w:rFonts w:asciiTheme="minorEastAsia" w:eastAsiaTheme="minorEastAsia" w:hAnsiTheme="minorEastAsia"/>
          <w:sz w:val="21"/>
          <w:szCs w:val="21"/>
          <w:shd w:val="clear" w:color="auto" w:fill="FFFFFF"/>
        </w:rPr>
        <w:t>12-18.</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[32]</w:t>
      </w:r>
      <w:r w:rsidRPr="00FC53F0">
        <w:rPr>
          <w:rFonts w:asciiTheme="minorEastAsia" w:eastAsiaTheme="minorEastAsia" w:hAnsiTheme="minorEastAsia"/>
          <w:sz w:val="21"/>
          <w:szCs w:val="21"/>
          <w:shd w:val="clear" w:color="auto" w:fill="FFFFFF"/>
        </w:rPr>
        <w:t>黄贤金</w:t>
      </w:r>
      <w:r w:rsidR="00123FA4"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论构建城乡统一的建设用地市场体系</w:t>
      </w:r>
      <w:r w:rsidR="00123FA4" w:rsidRPr="00FC53F0">
        <w:rPr>
          <w:rFonts w:asciiTheme="minorEastAsia" w:eastAsiaTheme="minorEastAsia" w:hAnsiTheme="minorEastAsia" w:hint="eastAsia"/>
          <w:sz w:val="21"/>
          <w:szCs w:val="21"/>
          <w:shd w:val="clear" w:color="auto" w:fill="FFFFFF"/>
        </w:rPr>
        <w:t>：</w:t>
      </w:r>
      <w:r w:rsidRPr="00FC53F0">
        <w:rPr>
          <w:rFonts w:asciiTheme="minorEastAsia" w:eastAsiaTheme="minorEastAsia" w:hAnsiTheme="minorEastAsia"/>
          <w:sz w:val="21"/>
          <w:szCs w:val="21"/>
          <w:shd w:val="clear" w:color="auto" w:fill="FFFFFF"/>
        </w:rPr>
        <w:t>兼论“同地、同权、同价、同责”的理论圈层特征</w:t>
      </w:r>
      <w:r w:rsidR="00123FA4"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中国土地科学</w:t>
      </w:r>
      <w:r w:rsidR="00123FA4" w:rsidRPr="00FC53F0">
        <w:rPr>
          <w:rFonts w:asciiTheme="minorEastAsia" w:eastAsiaTheme="minorEastAsia" w:hAnsiTheme="minorEastAsia"/>
          <w:sz w:val="21"/>
          <w:szCs w:val="21"/>
          <w:shd w:val="clear" w:color="auto" w:fill="FFFFFF"/>
        </w:rPr>
        <w:t>,2019,33(8):</w:t>
      </w:r>
      <w:r w:rsidRPr="00FC53F0">
        <w:rPr>
          <w:rFonts w:asciiTheme="minorEastAsia" w:eastAsiaTheme="minorEastAsia" w:hAnsiTheme="minorEastAsia"/>
          <w:sz w:val="21"/>
          <w:szCs w:val="21"/>
          <w:shd w:val="clear" w:color="auto" w:fill="FFFFFF"/>
        </w:rPr>
        <w:t>1-7.</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[33]</w:t>
      </w:r>
      <w:r w:rsidR="004934E3" w:rsidRPr="00FC53F0">
        <w:rPr>
          <w:rFonts w:asciiTheme="minorEastAsia" w:eastAsiaTheme="minorEastAsia" w:hAnsiTheme="minorEastAsia"/>
          <w:sz w:val="21"/>
          <w:szCs w:val="21"/>
        </w:rPr>
        <w:t>梁晨.论我国集体建设用地使用权流转的法律规制[D].重庆:西南政法大学,2010.</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lastRenderedPageBreak/>
        <w:t>[34]</w:t>
      </w:r>
      <w:r w:rsidRPr="00FC53F0">
        <w:rPr>
          <w:rFonts w:asciiTheme="minorEastAsia" w:eastAsiaTheme="minorEastAsia" w:hAnsiTheme="minorEastAsia"/>
          <w:sz w:val="21"/>
          <w:szCs w:val="21"/>
          <w:shd w:val="clear" w:color="auto" w:fill="FFFFFF"/>
        </w:rPr>
        <w:t>贺桂华</w:t>
      </w:r>
      <w:r w:rsidR="00123FA4"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姜威</w:t>
      </w:r>
      <w:r w:rsidR="00123FA4"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我国集体建设用地使用权流转制度的建构</w:t>
      </w:r>
      <w:r w:rsidR="00123FA4"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陕西行政学院学报</w:t>
      </w:r>
      <w:r w:rsidR="00123FA4" w:rsidRPr="00FC53F0">
        <w:rPr>
          <w:rFonts w:asciiTheme="minorEastAsia" w:eastAsiaTheme="minorEastAsia" w:hAnsiTheme="minorEastAsia"/>
          <w:sz w:val="21"/>
          <w:szCs w:val="21"/>
          <w:shd w:val="clear" w:color="auto" w:fill="FFFFFF"/>
        </w:rPr>
        <w:t>,2013,27(2):</w:t>
      </w:r>
      <w:r w:rsidRPr="00FC53F0">
        <w:rPr>
          <w:rFonts w:asciiTheme="minorEastAsia" w:eastAsiaTheme="minorEastAsia" w:hAnsiTheme="minorEastAsia"/>
          <w:sz w:val="21"/>
          <w:szCs w:val="21"/>
          <w:shd w:val="clear" w:color="auto" w:fill="FFFFFF"/>
        </w:rPr>
        <w:t>112-116.</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[35]</w:t>
      </w:r>
      <w:r w:rsidR="0096762A" w:rsidRPr="00FC53F0">
        <w:rPr>
          <w:rFonts w:asciiTheme="minorEastAsia" w:eastAsiaTheme="minorEastAsia" w:hAnsiTheme="minorEastAsia"/>
          <w:sz w:val="21"/>
          <w:szCs w:val="21"/>
        </w:rPr>
        <w:t>陆和</w:t>
      </w:r>
      <w:proofErr w:type="gramStart"/>
      <w:r w:rsidR="0096762A" w:rsidRPr="00FC53F0">
        <w:rPr>
          <w:rFonts w:asciiTheme="minorEastAsia" w:eastAsiaTheme="minorEastAsia" w:hAnsiTheme="minorEastAsia"/>
          <w:sz w:val="21"/>
          <w:szCs w:val="21"/>
        </w:rPr>
        <w:t>儒.</w:t>
      </w:r>
      <w:proofErr w:type="gramEnd"/>
      <w:r w:rsidR="0096762A" w:rsidRPr="00FC53F0">
        <w:rPr>
          <w:rFonts w:asciiTheme="minorEastAsia" w:eastAsiaTheme="minorEastAsia" w:hAnsiTheme="minorEastAsia"/>
          <w:sz w:val="21"/>
          <w:szCs w:val="21"/>
        </w:rPr>
        <w:t>我国农村集体建设用地流转制度建构问题探析[D].重庆:西南政法大学,2011.</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[36]</w:t>
      </w:r>
      <w:r w:rsidRPr="00FC53F0">
        <w:rPr>
          <w:rFonts w:asciiTheme="minorEastAsia" w:eastAsiaTheme="minorEastAsia" w:hAnsiTheme="minorEastAsia"/>
          <w:sz w:val="21"/>
          <w:szCs w:val="21"/>
          <w:shd w:val="clear" w:color="auto" w:fill="FFFFFF"/>
        </w:rPr>
        <w:t>杭太元</w:t>
      </w:r>
      <w:r w:rsidR="00123FA4"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集体建设用地基准地价评估体系的构建</w:t>
      </w:r>
      <w:r w:rsidR="00123FA4"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产业与科技论坛</w:t>
      </w:r>
      <w:r w:rsidR="00123FA4" w:rsidRPr="00FC53F0">
        <w:rPr>
          <w:rFonts w:asciiTheme="minorEastAsia" w:eastAsiaTheme="minorEastAsia" w:hAnsiTheme="minorEastAsia"/>
          <w:sz w:val="21"/>
          <w:szCs w:val="21"/>
          <w:shd w:val="clear" w:color="auto" w:fill="FFFFFF"/>
        </w:rPr>
        <w:t>,2016,15(13):</w:t>
      </w:r>
      <w:r w:rsidRPr="00FC53F0">
        <w:rPr>
          <w:rFonts w:asciiTheme="minorEastAsia" w:eastAsiaTheme="minorEastAsia" w:hAnsiTheme="minorEastAsia"/>
          <w:sz w:val="21"/>
          <w:szCs w:val="21"/>
          <w:shd w:val="clear" w:color="auto" w:fill="FFFFFF"/>
        </w:rPr>
        <w:t>216-218.</w:t>
      </w:r>
    </w:p>
    <w:p w:rsidR="00F5516E" w:rsidRPr="00FC53F0" w:rsidRDefault="0071268E" w:rsidP="002021E2">
      <w:pPr>
        <w:tabs>
          <w:tab w:val="left" w:pos="312"/>
        </w:tabs>
        <w:spacing w:line="360" w:lineRule="auto"/>
        <w:rPr>
          <w:rFonts w:asciiTheme="minorEastAsia" w:eastAsiaTheme="minorEastAsia" w:hAnsiTheme="minorEastAsia"/>
          <w:sz w:val="21"/>
          <w:szCs w:val="21"/>
          <w:shd w:val="clear" w:color="auto" w:fill="FFFFFF"/>
        </w:rPr>
      </w:pPr>
      <w:r w:rsidRPr="00FC53F0">
        <w:rPr>
          <w:rFonts w:asciiTheme="minorEastAsia" w:eastAsiaTheme="minorEastAsia" w:hAnsiTheme="minorEastAsia" w:hint="eastAsia"/>
          <w:sz w:val="21"/>
          <w:szCs w:val="21"/>
          <w:shd w:val="clear" w:color="auto" w:fill="FFFFFF"/>
        </w:rPr>
        <w:t>[37]</w:t>
      </w:r>
      <w:proofErr w:type="gramStart"/>
      <w:r w:rsidRPr="00FC53F0">
        <w:rPr>
          <w:rFonts w:asciiTheme="minorEastAsia" w:eastAsiaTheme="minorEastAsia" w:hAnsiTheme="minorEastAsia"/>
          <w:sz w:val="21"/>
          <w:szCs w:val="21"/>
          <w:shd w:val="clear" w:color="auto" w:fill="FFFFFF"/>
        </w:rPr>
        <w:t>姜全丽</w:t>
      </w:r>
      <w:proofErr w:type="gramEnd"/>
      <w:r w:rsidR="00123FA4" w:rsidRPr="00FC53F0">
        <w:rPr>
          <w:rFonts w:asciiTheme="minorEastAsia" w:eastAsiaTheme="minorEastAsia" w:hAnsiTheme="minorEastAsia"/>
          <w:sz w:val="21"/>
          <w:szCs w:val="21"/>
          <w:shd w:val="clear" w:color="auto" w:fill="FFFFFF"/>
        </w:rPr>
        <w:t>.</w:t>
      </w:r>
      <w:r w:rsidRPr="00FC53F0">
        <w:rPr>
          <w:rFonts w:asciiTheme="minorEastAsia" w:eastAsiaTheme="minorEastAsia" w:hAnsiTheme="minorEastAsia"/>
          <w:sz w:val="21"/>
          <w:szCs w:val="21"/>
          <w:shd w:val="clear" w:color="auto" w:fill="FFFFFF"/>
        </w:rPr>
        <w:t>集体建设用地基准地价评估体系框架构建</w:t>
      </w:r>
      <w:r w:rsidR="00123FA4" w:rsidRPr="00FC53F0">
        <w:rPr>
          <w:rFonts w:asciiTheme="minorEastAsia" w:eastAsiaTheme="minorEastAsia" w:hAnsiTheme="minorEastAsia"/>
          <w:sz w:val="21"/>
          <w:szCs w:val="21"/>
          <w:shd w:val="clear" w:color="auto" w:fill="FFFFFF"/>
        </w:rPr>
        <w:t>[J].</w:t>
      </w:r>
      <w:r w:rsidRPr="00FC53F0">
        <w:rPr>
          <w:rFonts w:asciiTheme="minorEastAsia" w:eastAsiaTheme="minorEastAsia" w:hAnsiTheme="minorEastAsia"/>
          <w:sz w:val="21"/>
          <w:szCs w:val="21"/>
          <w:shd w:val="clear" w:color="auto" w:fill="FFFFFF"/>
        </w:rPr>
        <w:t>工程建设与设计</w:t>
      </w:r>
      <w:r w:rsidR="00123FA4" w:rsidRPr="00FC53F0">
        <w:rPr>
          <w:rFonts w:asciiTheme="minorEastAsia" w:eastAsiaTheme="minorEastAsia" w:hAnsiTheme="minorEastAsia"/>
          <w:sz w:val="21"/>
          <w:szCs w:val="21"/>
          <w:shd w:val="clear" w:color="auto" w:fill="FFFFFF"/>
        </w:rPr>
        <w:t>,2018(16):</w:t>
      </w:r>
      <w:r w:rsidRPr="00FC53F0">
        <w:rPr>
          <w:rFonts w:asciiTheme="minorEastAsia" w:eastAsiaTheme="minorEastAsia" w:hAnsiTheme="minorEastAsia"/>
          <w:sz w:val="21"/>
          <w:szCs w:val="21"/>
          <w:shd w:val="clear" w:color="auto" w:fill="FFFFFF"/>
        </w:rPr>
        <w:t xml:space="preserve">248-249. </w:t>
      </w:r>
    </w:p>
    <w:p w:rsidR="009B086D" w:rsidRPr="00FC53F0" w:rsidRDefault="009B086D" w:rsidP="002021E2">
      <w:pPr>
        <w:pStyle w:val="ac"/>
        <w:spacing w:line="360" w:lineRule="auto"/>
        <w:jc w:val="both"/>
        <w:rPr>
          <w:rFonts w:asciiTheme="minorEastAsia" w:eastAsiaTheme="minorEastAsia" w:hAnsiTheme="minorEastAsia"/>
          <w:b/>
          <w:sz w:val="21"/>
          <w:szCs w:val="21"/>
        </w:rPr>
      </w:pPr>
    </w:p>
    <w:p w:rsidR="00F5516E" w:rsidRPr="00FC53F0" w:rsidRDefault="00F5516E">
      <w:pPr>
        <w:spacing w:line="288" w:lineRule="auto"/>
        <w:rPr>
          <w:rFonts w:ascii="Times New Roman" w:hAnsi="Times New Roman"/>
          <w:sz w:val="21"/>
          <w:szCs w:val="21"/>
          <w:shd w:val="clear" w:color="auto" w:fill="FFFFFF"/>
        </w:rPr>
      </w:pPr>
    </w:p>
    <w:sectPr w:rsidR="00F5516E" w:rsidRPr="00FC53F0">
      <w:footerReference w:type="default" r:id="rI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42" w:rsidRDefault="00082D42">
      <w:r>
        <w:separator/>
      </w:r>
    </w:p>
  </w:endnote>
  <w:endnote w:type="continuationSeparator" w:id="0">
    <w:p w:rsidR="00082D42" w:rsidRDefault="0008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172595"/>
      <w:docPartObj>
        <w:docPartGallery w:val="Page Numbers (Bottom of Page)"/>
        <w:docPartUnique/>
      </w:docPartObj>
    </w:sdtPr>
    <w:sdtEndPr/>
    <w:sdtContent>
      <w:p w:rsidR="00D00B0F" w:rsidRDefault="00D00B0F">
        <w:pPr>
          <w:pStyle w:val="a9"/>
          <w:jc w:val="center"/>
        </w:pPr>
        <w:r>
          <w:fldChar w:fldCharType="begin"/>
        </w:r>
        <w:r>
          <w:instrText>PAGE   \* MERGEFORMAT</w:instrText>
        </w:r>
        <w:r>
          <w:fldChar w:fldCharType="separate"/>
        </w:r>
        <w:r w:rsidR="00FC53F0" w:rsidRPr="00FC53F0">
          <w:rPr>
            <w:noProof/>
            <w:lang w:val="zh-CN"/>
          </w:rPr>
          <w:t>8</w:t>
        </w:r>
        <w:r>
          <w:fldChar w:fldCharType="end"/>
        </w:r>
      </w:p>
    </w:sdtContent>
  </w:sdt>
  <w:p w:rsidR="00D00B0F" w:rsidRDefault="00D00B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42" w:rsidRDefault="00082D42">
      <w:r>
        <w:separator/>
      </w:r>
    </w:p>
  </w:footnote>
  <w:footnote w:type="continuationSeparator" w:id="0">
    <w:p w:rsidR="00082D42" w:rsidRDefault="00082D42">
      <w:r>
        <w:continuationSeparator/>
      </w:r>
    </w:p>
  </w:footnote>
  <w:footnote w:id="1">
    <w:p w:rsidR="00D00B0F" w:rsidRPr="0071268E" w:rsidRDefault="00D00B0F" w:rsidP="00136BD0">
      <w:pPr>
        <w:pStyle w:val="ac"/>
        <w:jc w:val="both"/>
        <w:rPr>
          <w:rFonts w:asciiTheme="minorEastAsia" w:eastAsiaTheme="minorEastAsia" w:hAnsiTheme="minorEastAsia"/>
        </w:rPr>
      </w:pPr>
      <w:r>
        <w:rPr>
          <w:rStyle w:val="af6"/>
        </w:rPr>
        <w:footnoteRef/>
      </w:r>
      <w:r w:rsidRPr="0071268E">
        <w:rPr>
          <w:rFonts w:asciiTheme="minorEastAsia" w:eastAsiaTheme="minorEastAsia" w:hAnsiTheme="minorEastAsia" w:hint="eastAsia"/>
          <w:b/>
          <w:lang w:eastAsia="zh-TW"/>
        </w:rPr>
        <w:t>收稿日期：</w:t>
      </w:r>
      <w:r w:rsidRPr="0071268E">
        <w:rPr>
          <w:rFonts w:asciiTheme="minorEastAsia" w:eastAsiaTheme="minorEastAsia" w:hAnsiTheme="minorEastAsia"/>
          <w:lang w:eastAsia="zh-TW"/>
        </w:rPr>
        <w:t>20</w:t>
      </w:r>
      <w:r w:rsidRPr="0071268E">
        <w:rPr>
          <w:rFonts w:asciiTheme="minorEastAsia" w:eastAsiaTheme="minorEastAsia" w:hAnsiTheme="minorEastAsia"/>
        </w:rPr>
        <w:t>20</w:t>
      </w:r>
      <w:r w:rsidRPr="0071268E">
        <w:rPr>
          <w:rFonts w:asciiTheme="minorEastAsia" w:eastAsiaTheme="minorEastAsia" w:hAnsiTheme="minorEastAsia"/>
          <w:lang w:eastAsia="zh-TW"/>
        </w:rPr>
        <w:t>-</w:t>
      </w:r>
      <w:r w:rsidRPr="0071268E">
        <w:rPr>
          <w:rFonts w:asciiTheme="minorEastAsia" w:eastAsiaTheme="minorEastAsia" w:hAnsiTheme="minorEastAsia" w:hint="eastAsia"/>
        </w:rPr>
        <w:t>11</w:t>
      </w:r>
      <w:r w:rsidRPr="0071268E">
        <w:rPr>
          <w:rFonts w:asciiTheme="minorEastAsia" w:eastAsiaTheme="minorEastAsia" w:hAnsiTheme="minorEastAsia"/>
          <w:lang w:eastAsia="zh-TW"/>
        </w:rPr>
        <w:t>-</w:t>
      </w:r>
      <w:r w:rsidRPr="0071268E">
        <w:rPr>
          <w:rFonts w:asciiTheme="minorEastAsia" w:eastAsiaTheme="minorEastAsia" w:hAnsiTheme="minorEastAsia" w:hint="eastAsia"/>
        </w:rPr>
        <w:t>15</w:t>
      </w:r>
      <w:r w:rsidRPr="0071268E">
        <w:rPr>
          <w:rFonts w:asciiTheme="minorEastAsia" w:eastAsiaTheme="minorEastAsia" w:hAnsiTheme="minorEastAsia" w:hint="eastAsia"/>
          <w:lang w:eastAsia="zh-TW"/>
        </w:rPr>
        <w:t>；</w:t>
      </w:r>
      <w:r w:rsidRPr="0071268E">
        <w:rPr>
          <w:rFonts w:asciiTheme="minorEastAsia" w:eastAsiaTheme="minorEastAsia" w:hAnsiTheme="minorEastAsia" w:hint="eastAsia"/>
          <w:b/>
          <w:lang w:eastAsia="zh-TW"/>
        </w:rPr>
        <w:t>修回日期：</w:t>
      </w:r>
      <w:r w:rsidRPr="0071268E">
        <w:rPr>
          <w:rFonts w:asciiTheme="minorEastAsia" w:eastAsiaTheme="minorEastAsia" w:hAnsiTheme="minorEastAsia"/>
          <w:lang w:eastAsia="zh-TW"/>
        </w:rPr>
        <w:t>20</w:t>
      </w:r>
      <w:r w:rsidRPr="0071268E">
        <w:rPr>
          <w:rFonts w:asciiTheme="minorEastAsia" w:eastAsiaTheme="minorEastAsia" w:hAnsiTheme="minorEastAsia"/>
        </w:rPr>
        <w:t>20</w:t>
      </w:r>
      <w:r w:rsidRPr="0071268E">
        <w:rPr>
          <w:rFonts w:asciiTheme="minorEastAsia" w:eastAsiaTheme="minorEastAsia" w:hAnsiTheme="minorEastAsia"/>
          <w:lang w:eastAsia="zh-TW"/>
        </w:rPr>
        <w:t>-</w:t>
      </w:r>
      <w:r w:rsidRPr="0071268E">
        <w:rPr>
          <w:rFonts w:asciiTheme="minorEastAsia" w:eastAsiaTheme="minorEastAsia" w:hAnsiTheme="minorEastAsia"/>
        </w:rPr>
        <w:t>1</w:t>
      </w:r>
      <w:r w:rsidRPr="0071268E">
        <w:rPr>
          <w:rFonts w:asciiTheme="minorEastAsia" w:eastAsiaTheme="minorEastAsia" w:hAnsiTheme="minorEastAsia" w:hint="eastAsia"/>
        </w:rPr>
        <w:t>2</w:t>
      </w:r>
      <w:r w:rsidRPr="0071268E">
        <w:rPr>
          <w:rFonts w:asciiTheme="minorEastAsia" w:eastAsiaTheme="minorEastAsia" w:hAnsiTheme="minorEastAsia"/>
          <w:lang w:eastAsia="zh-TW"/>
        </w:rPr>
        <w:t>-</w:t>
      </w:r>
      <w:r w:rsidRPr="0071268E">
        <w:rPr>
          <w:rFonts w:asciiTheme="minorEastAsia" w:eastAsiaTheme="minorEastAsia" w:hAnsiTheme="minorEastAsia" w:hint="eastAsia"/>
        </w:rPr>
        <w:t>19</w:t>
      </w:r>
    </w:p>
    <w:p w:rsidR="00D00B0F" w:rsidRPr="0071268E" w:rsidRDefault="00D00B0F" w:rsidP="00136BD0">
      <w:pPr>
        <w:pStyle w:val="ac"/>
        <w:tabs>
          <w:tab w:val="left" w:pos="2552"/>
        </w:tabs>
        <w:jc w:val="both"/>
        <w:rPr>
          <w:rFonts w:asciiTheme="minorEastAsia" w:eastAsiaTheme="minorEastAsia" w:hAnsiTheme="minorEastAsia"/>
          <w:color w:val="000000"/>
        </w:rPr>
      </w:pPr>
      <w:r w:rsidRPr="0071268E">
        <w:rPr>
          <w:rFonts w:asciiTheme="minorEastAsia" w:eastAsiaTheme="minorEastAsia" w:hAnsiTheme="minorEastAsia" w:hint="eastAsia"/>
          <w:b/>
        </w:rPr>
        <w:t>基金项目：</w:t>
      </w:r>
      <w:r w:rsidRPr="0071268E">
        <w:rPr>
          <w:rFonts w:asciiTheme="minorEastAsia" w:eastAsiaTheme="minorEastAsia" w:hAnsiTheme="minorEastAsia"/>
          <w:color w:val="000000"/>
        </w:rPr>
        <w:t>国家自然科学基金项目“农民土地价值观:测度、变迁与影响</w:t>
      </w:r>
      <w:r>
        <w:rPr>
          <w:rFonts w:asciiTheme="minorEastAsia" w:eastAsiaTheme="minorEastAsia" w:hAnsiTheme="minorEastAsia"/>
          <w:color w:val="000000"/>
        </w:rPr>
        <w:t>”(71563001)</w:t>
      </w:r>
      <w:r>
        <w:rPr>
          <w:rFonts w:asciiTheme="minorEastAsia" w:eastAsiaTheme="minorEastAsia" w:hAnsiTheme="minorEastAsia" w:hint="eastAsia"/>
          <w:color w:val="000000"/>
        </w:rPr>
        <w:t>；</w:t>
      </w:r>
      <w:r w:rsidRPr="0071268E">
        <w:rPr>
          <w:rFonts w:asciiTheme="minorEastAsia" w:eastAsiaTheme="minorEastAsia" w:hAnsiTheme="minorEastAsia"/>
          <w:color w:val="000000"/>
        </w:rPr>
        <w:t>国家社会科学基金项目“六盘山深度贫困区农地‘三权分置’减贫机理与效应研究</w:t>
      </w:r>
      <w:r>
        <w:rPr>
          <w:rFonts w:asciiTheme="minorEastAsia" w:eastAsiaTheme="minorEastAsia" w:hAnsiTheme="minorEastAsia"/>
          <w:color w:val="000000"/>
        </w:rPr>
        <w:t>”(18CGL026)</w:t>
      </w:r>
      <w:r>
        <w:rPr>
          <w:rFonts w:asciiTheme="minorEastAsia" w:eastAsiaTheme="minorEastAsia" w:hAnsiTheme="minorEastAsia" w:hint="eastAsia"/>
          <w:color w:val="000000"/>
        </w:rPr>
        <w:t>；</w:t>
      </w:r>
      <w:r w:rsidRPr="0071268E">
        <w:rPr>
          <w:rFonts w:asciiTheme="minorEastAsia" w:eastAsiaTheme="minorEastAsia" w:hAnsiTheme="minorEastAsia"/>
          <w:color w:val="000000"/>
        </w:rPr>
        <w:t>甘肃省高等学校科研项目“土地要素的减贫效应:模式、机理及其在甘肃六盘山贫困片区的应用”(2018A-037)</w:t>
      </w:r>
    </w:p>
    <w:p w:rsidR="00D00B0F" w:rsidRPr="0071268E" w:rsidRDefault="00D00B0F" w:rsidP="00136BD0">
      <w:pPr>
        <w:pStyle w:val="ac"/>
        <w:tabs>
          <w:tab w:val="left" w:pos="2552"/>
        </w:tabs>
        <w:jc w:val="both"/>
        <w:rPr>
          <w:rFonts w:asciiTheme="minorEastAsia" w:eastAsiaTheme="minorEastAsia" w:hAnsiTheme="minorEastAsia"/>
          <w:color w:val="333333"/>
          <w:shd w:val="clear" w:color="auto" w:fill="FFFFFF"/>
        </w:rPr>
      </w:pPr>
      <w:r w:rsidRPr="0071268E">
        <w:rPr>
          <w:rFonts w:asciiTheme="minorEastAsia" w:eastAsiaTheme="minorEastAsia" w:hAnsiTheme="minorEastAsia"/>
          <w:b/>
          <w:color w:val="000000"/>
        </w:rPr>
        <w:t>作者简介：</w:t>
      </w:r>
      <w:r w:rsidRPr="0071268E">
        <w:rPr>
          <w:rFonts w:asciiTheme="minorEastAsia" w:eastAsiaTheme="minorEastAsia" w:hAnsiTheme="minorEastAsia"/>
          <w:color w:val="000000"/>
        </w:rPr>
        <w:t>庞学珺（</w:t>
      </w:r>
      <w:r>
        <w:rPr>
          <w:rFonts w:asciiTheme="minorEastAsia" w:eastAsiaTheme="minorEastAsia" w:hAnsiTheme="minorEastAsia"/>
          <w:color w:val="000000"/>
        </w:rPr>
        <w:t>1992</w:t>
      </w:r>
      <w:r>
        <w:rPr>
          <w:rFonts w:asciiTheme="minorEastAsia" w:eastAsiaTheme="minorEastAsia" w:hAnsiTheme="minorEastAsia" w:hint="eastAsia"/>
          <w:color w:val="000000"/>
        </w:rPr>
        <w:t>—</w:t>
      </w:r>
      <w:r w:rsidRPr="0071268E">
        <w:rPr>
          <w:rFonts w:asciiTheme="minorEastAsia" w:eastAsiaTheme="minorEastAsia" w:hAnsiTheme="minorEastAsia"/>
          <w:color w:val="000000"/>
        </w:rPr>
        <w:t>），女，甘肃</w:t>
      </w:r>
      <w:r>
        <w:rPr>
          <w:rFonts w:asciiTheme="minorEastAsia" w:eastAsiaTheme="minorEastAsia" w:hAnsiTheme="minorEastAsia" w:hint="eastAsia"/>
          <w:color w:val="000000"/>
        </w:rPr>
        <w:t>省定西市</w:t>
      </w:r>
      <w:proofErr w:type="gramStart"/>
      <w:r w:rsidRPr="0071268E">
        <w:rPr>
          <w:rFonts w:asciiTheme="minorEastAsia" w:eastAsiaTheme="minorEastAsia" w:hAnsiTheme="minorEastAsia"/>
          <w:color w:val="000000"/>
        </w:rPr>
        <w:t>安定</w:t>
      </w:r>
      <w:r>
        <w:rPr>
          <w:rFonts w:asciiTheme="minorEastAsia" w:eastAsiaTheme="minorEastAsia" w:hAnsiTheme="minorEastAsia" w:hint="eastAsia"/>
          <w:color w:val="000000"/>
        </w:rPr>
        <w:t>区</w:t>
      </w:r>
      <w:proofErr w:type="gramEnd"/>
      <w:r w:rsidRPr="0071268E">
        <w:rPr>
          <w:rFonts w:asciiTheme="minorEastAsia" w:eastAsiaTheme="minorEastAsia" w:hAnsiTheme="minorEastAsia"/>
          <w:color w:val="000000"/>
        </w:rPr>
        <w:t>人，</w:t>
      </w:r>
      <w:r>
        <w:rPr>
          <w:rFonts w:ascii="Times New Roman" w:hAnsi="Times New Roman"/>
          <w:color w:val="000000" w:themeColor="text1"/>
        </w:rPr>
        <w:t>甘肃农业大学管理学院</w:t>
      </w:r>
      <w:r>
        <w:rPr>
          <w:rFonts w:asciiTheme="minorEastAsia" w:eastAsiaTheme="minorEastAsia" w:hAnsiTheme="minorEastAsia"/>
          <w:color w:val="000000"/>
        </w:rPr>
        <w:t>硕士研究生</w:t>
      </w:r>
      <w:r>
        <w:rPr>
          <w:rFonts w:asciiTheme="minorEastAsia" w:eastAsiaTheme="minorEastAsia" w:hAnsiTheme="minorEastAsia" w:hint="eastAsia"/>
          <w:color w:val="000000"/>
        </w:rPr>
        <w:t>，</w:t>
      </w:r>
      <w:r w:rsidRPr="0071268E">
        <w:rPr>
          <w:rFonts w:asciiTheme="minorEastAsia" w:eastAsiaTheme="minorEastAsia" w:hAnsiTheme="minorEastAsia"/>
          <w:color w:val="000000"/>
        </w:rPr>
        <w:t>研究方向：土地资产管理与土地政策。</w:t>
      </w:r>
    </w:p>
    <w:p w:rsidR="00D00B0F" w:rsidRPr="0071268E" w:rsidRDefault="00D00B0F" w:rsidP="00136BD0">
      <w:pPr>
        <w:pStyle w:val="ac"/>
        <w:jc w:val="both"/>
        <w:rPr>
          <w:rFonts w:asciiTheme="minorEastAsia" w:eastAsiaTheme="minorEastAsia" w:hAnsiTheme="minorEastAsia"/>
        </w:rPr>
      </w:pPr>
      <w:r w:rsidRPr="0071268E">
        <w:rPr>
          <w:rFonts w:asciiTheme="minorEastAsia" w:eastAsiaTheme="minorEastAsia" w:hAnsiTheme="minorEastAsia"/>
          <w:b/>
          <w:bCs/>
          <w:color w:val="000000"/>
        </w:rPr>
        <w:t>通讯作者：</w:t>
      </w:r>
      <w:r w:rsidRPr="0071268E">
        <w:rPr>
          <w:rFonts w:asciiTheme="minorEastAsia" w:eastAsiaTheme="minorEastAsia" w:hAnsiTheme="minorEastAsia"/>
          <w:color w:val="000000"/>
        </w:rPr>
        <w:t>陈英（</w:t>
      </w:r>
      <w:r>
        <w:rPr>
          <w:rFonts w:asciiTheme="minorEastAsia" w:eastAsiaTheme="minorEastAsia" w:hAnsiTheme="minorEastAsia"/>
          <w:color w:val="000000"/>
        </w:rPr>
        <w:t>1969</w:t>
      </w:r>
      <w:r>
        <w:rPr>
          <w:rFonts w:asciiTheme="minorEastAsia" w:eastAsiaTheme="minorEastAsia" w:hAnsiTheme="minorEastAsia" w:hint="eastAsia"/>
          <w:color w:val="000000"/>
        </w:rPr>
        <w:t>—</w:t>
      </w:r>
      <w:r w:rsidRPr="0071268E">
        <w:rPr>
          <w:rFonts w:asciiTheme="minorEastAsia" w:eastAsiaTheme="minorEastAsia" w:hAnsiTheme="minorEastAsia"/>
          <w:color w:val="000000"/>
        </w:rPr>
        <w:t>），男，甘肃</w:t>
      </w:r>
      <w:r>
        <w:rPr>
          <w:rFonts w:asciiTheme="minorEastAsia" w:eastAsiaTheme="minorEastAsia" w:hAnsiTheme="minorEastAsia" w:hint="eastAsia"/>
          <w:color w:val="000000"/>
        </w:rPr>
        <w:t>省</w:t>
      </w:r>
      <w:r w:rsidRPr="0071268E">
        <w:rPr>
          <w:rFonts w:asciiTheme="minorEastAsia" w:eastAsiaTheme="minorEastAsia" w:hAnsiTheme="minorEastAsia"/>
          <w:color w:val="000000"/>
        </w:rPr>
        <w:t>武威</w:t>
      </w:r>
      <w:r>
        <w:rPr>
          <w:rFonts w:asciiTheme="minorEastAsia" w:eastAsiaTheme="minorEastAsia" w:hAnsiTheme="minorEastAsia" w:hint="eastAsia"/>
          <w:color w:val="000000"/>
        </w:rPr>
        <w:t>市</w:t>
      </w:r>
      <w:r>
        <w:rPr>
          <w:rFonts w:asciiTheme="minorEastAsia" w:eastAsiaTheme="minorEastAsia" w:hAnsiTheme="minorEastAsia"/>
          <w:color w:val="000000"/>
        </w:rPr>
        <w:t>人，</w:t>
      </w:r>
      <w:r>
        <w:rPr>
          <w:rFonts w:ascii="Times New Roman" w:hAnsi="Times New Roman"/>
          <w:color w:val="000000" w:themeColor="text1"/>
        </w:rPr>
        <w:t>甘肃农业大学管理学院</w:t>
      </w:r>
      <w:r>
        <w:rPr>
          <w:rFonts w:asciiTheme="minorEastAsia" w:eastAsiaTheme="minorEastAsia" w:hAnsiTheme="minorEastAsia"/>
          <w:color w:val="000000"/>
        </w:rPr>
        <w:t>教授</w:t>
      </w:r>
      <w:r>
        <w:rPr>
          <w:rFonts w:asciiTheme="minorEastAsia" w:eastAsiaTheme="minorEastAsia" w:hAnsiTheme="minorEastAsia" w:hint="eastAsia"/>
          <w:color w:val="000000"/>
        </w:rPr>
        <w:t>，</w:t>
      </w:r>
      <w:r w:rsidRPr="0071268E">
        <w:rPr>
          <w:rFonts w:asciiTheme="minorEastAsia" w:eastAsiaTheme="minorEastAsia" w:hAnsiTheme="minorEastAsia"/>
          <w:color w:val="000000"/>
        </w:rPr>
        <w:t>研究方向：土地资产管理、土地生态和区域发展。Email：cheny@gsau.edu.cn。</w:t>
      </w:r>
    </w:p>
    <w:p w:rsidR="00D00B0F" w:rsidRPr="00136BD0" w:rsidRDefault="00D00B0F">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E261D0"/>
    <w:multiLevelType w:val="singleLevel"/>
    <w:tmpl w:val="C3E261D0"/>
    <w:lvl w:ilvl="0">
      <w:start w:val="1"/>
      <w:numFmt w:val="decimal"/>
      <w:lvlText w:val="[%1]"/>
      <w:lvlJc w:val="left"/>
      <w:pPr>
        <w:tabs>
          <w:tab w:val="left" w:pos="312"/>
        </w:tabs>
      </w:pPr>
    </w:lvl>
  </w:abstractNum>
  <w:abstractNum w:abstractNumId="1" w15:restartNumberingAfterBreak="0">
    <w:nsid w:val="4F566A44"/>
    <w:multiLevelType w:val="multilevel"/>
    <w:tmpl w:val="20F4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96"/>
    <w:rsid w:val="0000316E"/>
    <w:rsid w:val="00004A15"/>
    <w:rsid w:val="000102CD"/>
    <w:rsid w:val="00015E9F"/>
    <w:rsid w:val="00022B51"/>
    <w:rsid w:val="00023FB4"/>
    <w:rsid w:val="00024B04"/>
    <w:rsid w:val="00024B42"/>
    <w:rsid w:val="00026C6C"/>
    <w:rsid w:val="00032A9B"/>
    <w:rsid w:val="00034D7F"/>
    <w:rsid w:val="00035EB3"/>
    <w:rsid w:val="00051E52"/>
    <w:rsid w:val="00056CDD"/>
    <w:rsid w:val="00060DFD"/>
    <w:rsid w:val="0006114E"/>
    <w:rsid w:val="00062B53"/>
    <w:rsid w:val="00063F17"/>
    <w:rsid w:val="000659FA"/>
    <w:rsid w:val="00066105"/>
    <w:rsid w:val="000669B0"/>
    <w:rsid w:val="000700DC"/>
    <w:rsid w:val="00082D42"/>
    <w:rsid w:val="00083725"/>
    <w:rsid w:val="000839D0"/>
    <w:rsid w:val="00085CBB"/>
    <w:rsid w:val="00085FBA"/>
    <w:rsid w:val="000914F6"/>
    <w:rsid w:val="000944CC"/>
    <w:rsid w:val="000977FC"/>
    <w:rsid w:val="000A0BB8"/>
    <w:rsid w:val="000A1816"/>
    <w:rsid w:val="000A50B7"/>
    <w:rsid w:val="000A6FAA"/>
    <w:rsid w:val="000B0226"/>
    <w:rsid w:val="000B0710"/>
    <w:rsid w:val="000B4A8B"/>
    <w:rsid w:val="000C19C7"/>
    <w:rsid w:val="000C5892"/>
    <w:rsid w:val="000C5DB9"/>
    <w:rsid w:val="000C6D23"/>
    <w:rsid w:val="000C6F81"/>
    <w:rsid w:val="000D34A2"/>
    <w:rsid w:val="000D5685"/>
    <w:rsid w:val="000E0208"/>
    <w:rsid w:val="000F2113"/>
    <w:rsid w:val="000F4898"/>
    <w:rsid w:val="000F49E7"/>
    <w:rsid w:val="000F6A04"/>
    <w:rsid w:val="001007F8"/>
    <w:rsid w:val="00101DB8"/>
    <w:rsid w:val="00106EAF"/>
    <w:rsid w:val="00107B1B"/>
    <w:rsid w:val="0011032F"/>
    <w:rsid w:val="001126F2"/>
    <w:rsid w:val="001131FF"/>
    <w:rsid w:val="00113A18"/>
    <w:rsid w:val="0011683A"/>
    <w:rsid w:val="00117A69"/>
    <w:rsid w:val="00123FA4"/>
    <w:rsid w:val="00124938"/>
    <w:rsid w:val="001257D9"/>
    <w:rsid w:val="00126086"/>
    <w:rsid w:val="00126FEA"/>
    <w:rsid w:val="0013230B"/>
    <w:rsid w:val="00133452"/>
    <w:rsid w:val="00136BD0"/>
    <w:rsid w:val="00142E1A"/>
    <w:rsid w:val="0015179F"/>
    <w:rsid w:val="001538B6"/>
    <w:rsid w:val="00156040"/>
    <w:rsid w:val="0015711A"/>
    <w:rsid w:val="00163D05"/>
    <w:rsid w:val="00165217"/>
    <w:rsid w:val="00167031"/>
    <w:rsid w:val="00173C45"/>
    <w:rsid w:val="00176546"/>
    <w:rsid w:val="00186602"/>
    <w:rsid w:val="001909BC"/>
    <w:rsid w:val="001940D8"/>
    <w:rsid w:val="001A202D"/>
    <w:rsid w:val="001A24F9"/>
    <w:rsid w:val="001A4035"/>
    <w:rsid w:val="001A47CC"/>
    <w:rsid w:val="001A5F1F"/>
    <w:rsid w:val="001B3162"/>
    <w:rsid w:val="001B38E1"/>
    <w:rsid w:val="001B638E"/>
    <w:rsid w:val="001C7F57"/>
    <w:rsid w:val="001D16AD"/>
    <w:rsid w:val="001D66DE"/>
    <w:rsid w:val="001D75E8"/>
    <w:rsid w:val="001E0A16"/>
    <w:rsid w:val="001E1A79"/>
    <w:rsid w:val="001E3A65"/>
    <w:rsid w:val="001F0A0B"/>
    <w:rsid w:val="001F0D83"/>
    <w:rsid w:val="001F28DA"/>
    <w:rsid w:val="001F7AB5"/>
    <w:rsid w:val="00200BD8"/>
    <w:rsid w:val="00201D0C"/>
    <w:rsid w:val="002021E2"/>
    <w:rsid w:val="002024A0"/>
    <w:rsid w:val="002064A1"/>
    <w:rsid w:val="00207827"/>
    <w:rsid w:val="0021279A"/>
    <w:rsid w:val="002177DF"/>
    <w:rsid w:val="00217D96"/>
    <w:rsid w:val="00220034"/>
    <w:rsid w:val="00223295"/>
    <w:rsid w:val="0023547C"/>
    <w:rsid w:val="00236D9D"/>
    <w:rsid w:val="00237A59"/>
    <w:rsid w:val="00243926"/>
    <w:rsid w:val="002446B2"/>
    <w:rsid w:val="00247880"/>
    <w:rsid w:val="00252AAA"/>
    <w:rsid w:val="00254F4F"/>
    <w:rsid w:val="002568EA"/>
    <w:rsid w:val="00267705"/>
    <w:rsid w:val="002678B0"/>
    <w:rsid w:val="00270447"/>
    <w:rsid w:val="0027209D"/>
    <w:rsid w:val="002721FF"/>
    <w:rsid w:val="00282062"/>
    <w:rsid w:val="002855BC"/>
    <w:rsid w:val="002873EB"/>
    <w:rsid w:val="00287998"/>
    <w:rsid w:val="00293978"/>
    <w:rsid w:val="002951BE"/>
    <w:rsid w:val="00296321"/>
    <w:rsid w:val="00296C11"/>
    <w:rsid w:val="002A06E4"/>
    <w:rsid w:val="002A13D7"/>
    <w:rsid w:val="002A412E"/>
    <w:rsid w:val="002A6850"/>
    <w:rsid w:val="002B62EC"/>
    <w:rsid w:val="002C38CA"/>
    <w:rsid w:val="002C3EB2"/>
    <w:rsid w:val="002C4705"/>
    <w:rsid w:val="002D08BA"/>
    <w:rsid w:val="002D3E02"/>
    <w:rsid w:val="002D6486"/>
    <w:rsid w:val="002E00E0"/>
    <w:rsid w:val="002E08A7"/>
    <w:rsid w:val="002E12C2"/>
    <w:rsid w:val="002E4233"/>
    <w:rsid w:val="002E77FC"/>
    <w:rsid w:val="002F25CA"/>
    <w:rsid w:val="002F672E"/>
    <w:rsid w:val="002F7BE6"/>
    <w:rsid w:val="00300D79"/>
    <w:rsid w:val="00303866"/>
    <w:rsid w:val="003055E0"/>
    <w:rsid w:val="00305F7B"/>
    <w:rsid w:val="003066F2"/>
    <w:rsid w:val="00311A9E"/>
    <w:rsid w:val="0031230D"/>
    <w:rsid w:val="0031299D"/>
    <w:rsid w:val="00313A9E"/>
    <w:rsid w:val="00315A2C"/>
    <w:rsid w:val="0032330C"/>
    <w:rsid w:val="003236B9"/>
    <w:rsid w:val="003249FB"/>
    <w:rsid w:val="00330645"/>
    <w:rsid w:val="00334FFD"/>
    <w:rsid w:val="00341D23"/>
    <w:rsid w:val="00345BA1"/>
    <w:rsid w:val="00347C3C"/>
    <w:rsid w:val="0035128D"/>
    <w:rsid w:val="003520D5"/>
    <w:rsid w:val="003527EA"/>
    <w:rsid w:val="00354BA9"/>
    <w:rsid w:val="00355E11"/>
    <w:rsid w:val="0035661E"/>
    <w:rsid w:val="0036301D"/>
    <w:rsid w:val="0036785E"/>
    <w:rsid w:val="003679AA"/>
    <w:rsid w:val="00370043"/>
    <w:rsid w:val="00376035"/>
    <w:rsid w:val="00381012"/>
    <w:rsid w:val="00382023"/>
    <w:rsid w:val="00384FBD"/>
    <w:rsid w:val="0038519B"/>
    <w:rsid w:val="003856E2"/>
    <w:rsid w:val="00387422"/>
    <w:rsid w:val="00392968"/>
    <w:rsid w:val="003A4CFC"/>
    <w:rsid w:val="003A6C77"/>
    <w:rsid w:val="003A7046"/>
    <w:rsid w:val="003A7377"/>
    <w:rsid w:val="003B0AF8"/>
    <w:rsid w:val="003B2A42"/>
    <w:rsid w:val="003B3B46"/>
    <w:rsid w:val="003B4EE3"/>
    <w:rsid w:val="003B54DA"/>
    <w:rsid w:val="003B6C0D"/>
    <w:rsid w:val="003B7390"/>
    <w:rsid w:val="003C023F"/>
    <w:rsid w:val="003C1BAE"/>
    <w:rsid w:val="003C35AC"/>
    <w:rsid w:val="003D1A8F"/>
    <w:rsid w:val="003E1069"/>
    <w:rsid w:val="003E5B34"/>
    <w:rsid w:val="003E720C"/>
    <w:rsid w:val="003E73CC"/>
    <w:rsid w:val="00401019"/>
    <w:rsid w:val="00403838"/>
    <w:rsid w:val="00405383"/>
    <w:rsid w:val="004053A8"/>
    <w:rsid w:val="00410E8E"/>
    <w:rsid w:val="00413F88"/>
    <w:rsid w:val="00416587"/>
    <w:rsid w:val="004259B9"/>
    <w:rsid w:val="00432900"/>
    <w:rsid w:val="004335A4"/>
    <w:rsid w:val="00436634"/>
    <w:rsid w:val="004407D9"/>
    <w:rsid w:val="004434F2"/>
    <w:rsid w:val="00444879"/>
    <w:rsid w:val="004464FE"/>
    <w:rsid w:val="0044655C"/>
    <w:rsid w:val="00447220"/>
    <w:rsid w:val="00450AE8"/>
    <w:rsid w:val="00457137"/>
    <w:rsid w:val="00461235"/>
    <w:rsid w:val="0046139C"/>
    <w:rsid w:val="00462600"/>
    <w:rsid w:val="0046471B"/>
    <w:rsid w:val="00464FD9"/>
    <w:rsid w:val="004663DA"/>
    <w:rsid w:val="00467913"/>
    <w:rsid w:val="004704BA"/>
    <w:rsid w:val="00470633"/>
    <w:rsid w:val="00470BF9"/>
    <w:rsid w:val="004711B7"/>
    <w:rsid w:val="004739A6"/>
    <w:rsid w:val="00486712"/>
    <w:rsid w:val="0049079B"/>
    <w:rsid w:val="004934E3"/>
    <w:rsid w:val="0049588E"/>
    <w:rsid w:val="004A2A49"/>
    <w:rsid w:val="004A2EAE"/>
    <w:rsid w:val="004A40D3"/>
    <w:rsid w:val="004A49C4"/>
    <w:rsid w:val="004A5AAE"/>
    <w:rsid w:val="004A647C"/>
    <w:rsid w:val="004B1A55"/>
    <w:rsid w:val="004B42D2"/>
    <w:rsid w:val="004B5D2C"/>
    <w:rsid w:val="004B68E0"/>
    <w:rsid w:val="004C6745"/>
    <w:rsid w:val="004D671C"/>
    <w:rsid w:val="004E34EB"/>
    <w:rsid w:val="004E3C0E"/>
    <w:rsid w:val="004E4109"/>
    <w:rsid w:val="004E54DF"/>
    <w:rsid w:val="004F4B28"/>
    <w:rsid w:val="004F5B78"/>
    <w:rsid w:val="00500081"/>
    <w:rsid w:val="0050135A"/>
    <w:rsid w:val="00503B2D"/>
    <w:rsid w:val="00510D17"/>
    <w:rsid w:val="00511B17"/>
    <w:rsid w:val="00515006"/>
    <w:rsid w:val="00520808"/>
    <w:rsid w:val="0052320A"/>
    <w:rsid w:val="00525364"/>
    <w:rsid w:val="005369AD"/>
    <w:rsid w:val="00536A93"/>
    <w:rsid w:val="00544022"/>
    <w:rsid w:val="0054487F"/>
    <w:rsid w:val="0055385A"/>
    <w:rsid w:val="00557D48"/>
    <w:rsid w:val="00560F7C"/>
    <w:rsid w:val="00563435"/>
    <w:rsid w:val="00563D76"/>
    <w:rsid w:val="0057271F"/>
    <w:rsid w:val="00582891"/>
    <w:rsid w:val="00592BF5"/>
    <w:rsid w:val="005A1AE4"/>
    <w:rsid w:val="005A5B30"/>
    <w:rsid w:val="005A6679"/>
    <w:rsid w:val="005A6FBD"/>
    <w:rsid w:val="005B2662"/>
    <w:rsid w:val="005B40ED"/>
    <w:rsid w:val="005C1EBD"/>
    <w:rsid w:val="005D1497"/>
    <w:rsid w:val="005D78A6"/>
    <w:rsid w:val="005E1940"/>
    <w:rsid w:val="005E36B0"/>
    <w:rsid w:val="005E4455"/>
    <w:rsid w:val="005F10AB"/>
    <w:rsid w:val="005F21DB"/>
    <w:rsid w:val="005F2627"/>
    <w:rsid w:val="005F7948"/>
    <w:rsid w:val="00601175"/>
    <w:rsid w:val="00603CB5"/>
    <w:rsid w:val="006043D7"/>
    <w:rsid w:val="00605651"/>
    <w:rsid w:val="006112D2"/>
    <w:rsid w:val="00611EAA"/>
    <w:rsid w:val="0061360E"/>
    <w:rsid w:val="00617569"/>
    <w:rsid w:val="00617A4B"/>
    <w:rsid w:val="006234AB"/>
    <w:rsid w:val="00630431"/>
    <w:rsid w:val="0063043B"/>
    <w:rsid w:val="00632212"/>
    <w:rsid w:val="00642B50"/>
    <w:rsid w:val="00651F84"/>
    <w:rsid w:val="00662E47"/>
    <w:rsid w:val="00672D0E"/>
    <w:rsid w:val="00672DF2"/>
    <w:rsid w:val="006758DE"/>
    <w:rsid w:val="00684A4D"/>
    <w:rsid w:val="00684BDC"/>
    <w:rsid w:val="0068603C"/>
    <w:rsid w:val="00691984"/>
    <w:rsid w:val="00692CEF"/>
    <w:rsid w:val="006A5FA1"/>
    <w:rsid w:val="006A6B28"/>
    <w:rsid w:val="006B45F4"/>
    <w:rsid w:val="006B503F"/>
    <w:rsid w:val="006B5878"/>
    <w:rsid w:val="006B68A8"/>
    <w:rsid w:val="006B6DE9"/>
    <w:rsid w:val="006B6F8D"/>
    <w:rsid w:val="006C3048"/>
    <w:rsid w:val="006D0E4B"/>
    <w:rsid w:val="006D35AC"/>
    <w:rsid w:val="006D5C9F"/>
    <w:rsid w:val="006E078C"/>
    <w:rsid w:val="006E250E"/>
    <w:rsid w:val="006E6EFE"/>
    <w:rsid w:val="006E74E2"/>
    <w:rsid w:val="006F3153"/>
    <w:rsid w:val="006F47D1"/>
    <w:rsid w:val="006F58F7"/>
    <w:rsid w:val="006F6925"/>
    <w:rsid w:val="006F6C3B"/>
    <w:rsid w:val="0070228C"/>
    <w:rsid w:val="0070324A"/>
    <w:rsid w:val="00703522"/>
    <w:rsid w:val="0071268E"/>
    <w:rsid w:val="00717EC4"/>
    <w:rsid w:val="00727D67"/>
    <w:rsid w:val="00731ED4"/>
    <w:rsid w:val="00733964"/>
    <w:rsid w:val="00734686"/>
    <w:rsid w:val="0073746D"/>
    <w:rsid w:val="007427E6"/>
    <w:rsid w:val="00742F8B"/>
    <w:rsid w:val="00743CAA"/>
    <w:rsid w:val="007464CE"/>
    <w:rsid w:val="00752D4D"/>
    <w:rsid w:val="00753302"/>
    <w:rsid w:val="00767878"/>
    <w:rsid w:val="007712A7"/>
    <w:rsid w:val="00771850"/>
    <w:rsid w:val="0077401F"/>
    <w:rsid w:val="00774169"/>
    <w:rsid w:val="007803F2"/>
    <w:rsid w:val="00783176"/>
    <w:rsid w:val="0078397B"/>
    <w:rsid w:val="00785D76"/>
    <w:rsid w:val="007A0967"/>
    <w:rsid w:val="007A59DA"/>
    <w:rsid w:val="007B2733"/>
    <w:rsid w:val="007B6C29"/>
    <w:rsid w:val="007C44F4"/>
    <w:rsid w:val="007C6E13"/>
    <w:rsid w:val="007D6BBE"/>
    <w:rsid w:val="007E2381"/>
    <w:rsid w:val="007E2874"/>
    <w:rsid w:val="007E429E"/>
    <w:rsid w:val="00807DAF"/>
    <w:rsid w:val="008145E1"/>
    <w:rsid w:val="00816BD1"/>
    <w:rsid w:val="00820AF1"/>
    <w:rsid w:val="00820C00"/>
    <w:rsid w:val="00821FEF"/>
    <w:rsid w:val="008236CF"/>
    <w:rsid w:val="00823FB7"/>
    <w:rsid w:val="0082592C"/>
    <w:rsid w:val="008274AC"/>
    <w:rsid w:val="00827C15"/>
    <w:rsid w:val="008300AE"/>
    <w:rsid w:val="0083054D"/>
    <w:rsid w:val="00830792"/>
    <w:rsid w:val="0083295C"/>
    <w:rsid w:val="0083348C"/>
    <w:rsid w:val="00834D12"/>
    <w:rsid w:val="00835C74"/>
    <w:rsid w:val="00837D55"/>
    <w:rsid w:val="00843D92"/>
    <w:rsid w:val="00851494"/>
    <w:rsid w:val="00852C6F"/>
    <w:rsid w:val="008567E2"/>
    <w:rsid w:val="0086031C"/>
    <w:rsid w:val="00862E2A"/>
    <w:rsid w:val="00863381"/>
    <w:rsid w:val="00866CD1"/>
    <w:rsid w:val="00870BE1"/>
    <w:rsid w:val="00873821"/>
    <w:rsid w:val="00874A8B"/>
    <w:rsid w:val="008764E5"/>
    <w:rsid w:val="00876C89"/>
    <w:rsid w:val="00880F2C"/>
    <w:rsid w:val="00882346"/>
    <w:rsid w:val="00884E0E"/>
    <w:rsid w:val="00885FAF"/>
    <w:rsid w:val="00885FD5"/>
    <w:rsid w:val="0088616D"/>
    <w:rsid w:val="00893298"/>
    <w:rsid w:val="00893F10"/>
    <w:rsid w:val="0089471A"/>
    <w:rsid w:val="008948C6"/>
    <w:rsid w:val="0089560A"/>
    <w:rsid w:val="008A48AA"/>
    <w:rsid w:val="008A7F40"/>
    <w:rsid w:val="008B19BD"/>
    <w:rsid w:val="008B245F"/>
    <w:rsid w:val="008B29C0"/>
    <w:rsid w:val="008B37E8"/>
    <w:rsid w:val="008B3BD6"/>
    <w:rsid w:val="008B5F6A"/>
    <w:rsid w:val="008B7CF0"/>
    <w:rsid w:val="008C37B9"/>
    <w:rsid w:val="008C745A"/>
    <w:rsid w:val="008C77C9"/>
    <w:rsid w:val="008D09D2"/>
    <w:rsid w:val="008D35BF"/>
    <w:rsid w:val="008D3FFD"/>
    <w:rsid w:val="008D60B0"/>
    <w:rsid w:val="008E3826"/>
    <w:rsid w:val="008E657B"/>
    <w:rsid w:val="008F144C"/>
    <w:rsid w:val="008F2C9E"/>
    <w:rsid w:val="008F79F9"/>
    <w:rsid w:val="009047E9"/>
    <w:rsid w:val="009056A7"/>
    <w:rsid w:val="00914283"/>
    <w:rsid w:val="0091461C"/>
    <w:rsid w:val="00915C9F"/>
    <w:rsid w:val="0092101B"/>
    <w:rsid w:val="00925F53"/>
    <w:rsid w:val="00935D3E"/>
    <w:rsid w:val="00942C57"/>
    <w:rsid w:val="00946E00"/>
    <w:rsid w:val="009504D4"/>
    <w:rsid w:val="009519EA"/>
    <w:rsid w:val="00957543"/>
    <w:rsid w:val="0096355E"/>
    <w:rsid w:val="00963ADA"/>
    <w:rsid w:val="0096762A"/>
    <w:rsid w:val="00967A23"/>
    <w:rsid w:val="009706DD"/>
    <w:rsid w:val="009769F2"/>
    <w:rsid w:val="00976DCA"/>
    <w:rsid w:val="0098084B"/>
    <w:rsid w:val="009830A1"/>
    <w:rsid w:val="00983F52"/>
    <w:rsid w:val="00985AB5"/>
    <w:rsid w:val="009861A7"/>
    <w:rsid w:val="00986D07"/>
    <w:rsid w:val="00991146"/>
    <w:rsid w:val="0099132B"/>
    <w:rsid w:val="00993F92"/>
    <w:rsid w:val="009971AE"/>
    <w:rsid w:val="009A080B"/>
    <w:rsid w:val="009A24DD"/>
    <w:rsid w:val="009A44F9"/>
    <w:rsid w:val="009A6F1A"/>
    <w:rsid w:val="009B086D"/>
    <w:rsid w:val="009B2614"/>
    <w:rsid w:val="009B2714"/>
    <w:rsid w:val="009C620B"/>
    <w:rsid w:val="009C6BB4"/>
    <w:rsid w:val="009D02B1"/>
    <w:rsid w:val="009D0AD9"/>
    <w:rsid w:val="009D416F"/>
    <w:rsid w:val="009E21D5"/>
    <w:rsid w:val="009E42E7"/>
    <w:rsid w:val="009E7275"/>
    <w:rsid w:val="009F3B05"/>
    <w:rsid w:val="009F5EED"/>
    <w:rsid w:val="00A10A4A"/>
    <w:rsid w:val="00A1129B"/>
    <w:rsid w:val="00A1234A"/>
    <w:rsid w:val="00A13665"/>
    <w:rsid w:val="00A13DCC"/>
    <w:rsid w:val="00A251F1"/>
    <w:rsid w:val="00A25C6D"/>
    <w:rsid w:val="00A31710"/>
    <w:rsid w:val="00A36D03"/>
    <w:rsid w:val="00A40608"/>
    <w:rsid w:val="00A44850"/>
    <w:rsid w:val="00A53E10"/>
    <w:rsid w:val="00A55238"/>
    <w:rsid w:val="00A554C4"/>
    <w:rsid w:val="00A637C9"/>
    <w:rsid w:val="00A63962"/>
    <w:rsid w:val="00A75338"/>
    <w:rsid w:val="00A75363"/>
    <w:rsid w:val="00A837B1"/>
    <w:rsid w:val="00A8404C"/>
    <w:rsid w:val="00A844B7"/>
    <w:rsid w:val="00A858DA"/>
    <w:rsid w:val="00A87303"/>
    <w:rsid w:val="00A87E91"/>
    <w:rsid w:val="00A90414"/>
    <w:rsid w:val="00A971EB"/>
    <w:rsid w:val="00AA68AF"/>
    <w:rsid w:val="00AA690E"/>
    <w:rsid w:val="00AA6DC1"/>
    <w:rsid w:val="00AB4D17"/>
    <w:rsid w:val="00AB5064"/>
    <w:rsid w:val="00AB7274"/>
    <w:rsid w:val="00AB7E5C"/>
    <w:rsid w:val="00AC0339"/>
    <w:rsid w:val="00AC0A22"/>
    <w:rsid w:val="00AC2BF2"/>
    <w:rsid w:val="00AC3E9D"/>
    <w:rsid w:val="00AC62E2"/>
    <w:rsid w:val="00AD17A1"/>
    <w:rsid w:val="00AD1FFD"/>
    <w:rsid w:val="00AD3A66"/>
    <w:rsid w:val="00AF1138"/>
    <w:rsid w:val="00AF1343"/>
    <w:rsid w:val="00AF64B5"/>
    <w:rsid w:val="00AF6D4D"/>
    <w:rsid w:val="00B009DD"/>
    <w:rsid w:val="00B00A7A"/>
    <w:rsid w:val="00B012E3"/>
    <w:rsid w:val="00B0131B"/>
    <w:rsid w:val="00B05599"/>
    <w:rsid w:val="00B05711"/>
    <w:rsid w:val="00B05F73"/>
    <w:rsid w:val="00B104FA"/>
    <w:rsid w:val="00B11111"/>
    <w:rsid w:val="00B141C6"/>
    <w:rsid w:val="00B17ECE"/>
    <w:rsid w:val="00B259A9"/>
    <w:rsid w:val="00B25CEA"/>
    <w:rsid w:val="00B30267"/>
    <w:rsid w:val="00B36326"/>
    <w:rsid w:val="00B376E5"/>
    <w:rsid w:val="00B40912"/>
    <w:rsid w:val="00B40CF0"/>
    <w:rsid w:val="00B410C3"/>
    <w:rsid w:val="00B428DA"/>
    <w:rsid w:val="00B4368C"/>
    <w:rsid w:val="00B469BB"/>
    <w:rsid w:val="00B51AA3"/>
    <w:rsid w:val="00B65341"/>
    <w:rsid w:val="00B77AD5"/>
    <w:rsid w:val="00B8494D"/>
    <w:rsid w:val="00B85377"/>
    <w:rsid w:val="00B86A5F"/>
    <w:rsid w:val="00B944AD"/>
    <w:rsid w:val="00BA1088"/>
    <w:rsid w:val="00BA1CD5"/>
    <w:rsid w:val="00BB0EC1"/>
    <w:rsid w:val="00BC1AAE"/>
    <w:rsid w:val="00BC718C"/>
    <w:rsid w:val="00BD480C"/>
    <w:rsid w:val="00BD66C4"/>
    <w:rsid w:val="00BD6E64"/>
    <w:rsid w:val="00BD7239"/>
    <w:rsid w:val="00BD79A1"/>
    <w:rsid w:val="00BE0305"/>
    <w:rsid w:val="00BE0F51"/>
    <w:rsid w:val="00BE1237"/>
    <w:rsid w:val="00BE1C09"/>
    <w:rsid w:val="00BE1E6C"/>
    <w:rsid w:val="00BE2D17"/>
    <w:rsid w:val="00BE4178"/>
    <w:rsid w:val="00BE591D"/>
    <w:rsid w:val="00C05BBF"/>
    <w:rsid w:val="00C0746E"/>
    <w:rsid w:val="00C114C7"/>
    <w:rsid w:val="00C132DA"/>
    <w:rsid w:val="00C146AB"/>
    <w:rsid w:val="00C15431"/>
    <w:rsid w:val="00C20C3F"/>
    <w:rsid w:val="00C20FBD"/>
    <w:rsid w:val="00C27257"/>
    <w:rsid w:val="00C31143"/>
    <w:rsid w:val="00C51832"/>
    <w:rsid w:val="00C54453"/>
    <w:rsid w:val="00C54B78"/>
    <w:rsid w:val="00C641DE"/>
    <w:rsid w:val="00C66AFA"/>
    <w:rsid w:val="00C67C4A"/>
    <w:rsid w:val="00C71F1A"/>
    <w:rsid w:val="00C73630"/>
    <w:rsid w:val="00C737EF"/>
    <w:rsid w:val="00C73B31"/>
    <w:rsid w:val="00C74D1D"/>
    <w:rsid w:val="00C76684"/>
    <w:rsid w:val="00CA1467"/>
    <w:rsid w:val="00CA5598"/>
    <w:rsid w:val="00CB12F0"/>
    <w:rsid w:val="00CB24DC"/>
    <w:rsid w:val="00CB49DB"/>
    <w:rsid w:val="00CC3191"/>
    <w:rsid w:val="00CC37A5"/>
    <w:rsid w:val="00CC49BC"/>
    <w:rsid w:val="00CC595C"/>
    <w:rsid w:val="00CC61E5"/>
    <w:rsid w:val="00CD41B0"/>
    <w:rsid w:val="00CD7AB0"/>
    <w:rsid w:val="00CD7BF6"/>
    <w:rsid w:val="00CE325D"/>
    <w:rsid w:val="00CE33C7"/>
    <w:rsid w:val="00CE537C"/>
    <w:rsid w:val="00CF2DF0"/>
    <w:rsid w:val="00D00B0F"/>
    <w:rsid w:val="00D03A7C"/>
    <w:rsid w:val="00D03AB3"/>
    <w:rsid w:val="00D07AC2"/>
    <w:rsid w:val="00D23407"/>
    <w:rsid w:val="00D25CE8"/>
    <w:rsid w:val="00D35022"/>
    <w:rsid w:val="00D45C19"/>
    <w:rsid w:val="00D558AB"/>
    <w:rsid w:val="00D62FCE"/>
    <w:rsid w:val="00D6370E"/>
    <w:rsid w:val="00D7223F"/>
    <w:rsid w:val="00D74992"/>
    <w:rsid w:val="00D779DD"/>
    <w:rsid w:val="00D81457"/>
    <w:rsid w:val="00D867A2"/>
    <w:rsid w:val="00D87099"/>
    <w:rsid w:val="00D8717F"/>
    <w:rsid w:val="00D92B2B"/>
    <w:rsid w:val="00D93368"/>
    <w:rsid w:val="00D96D14"/>
    <w:rsid w:val="00D972BA"/>
    <w:rsid w:val="00DA0D51"/>
    <w:rsid w:val="00DA457A"/>
    <w:rsid w:val="00DA57FC"/>
    <w:rsid w:val="00DA7DCA"/>
    <w:rsid w:val="00DA7EBD"/>
    <w:rsid w:val="00DB20F7"/>
    <w:rsid w:val="00DB34FE"/>
    <w:rsid w:val="00DC276E"/>
    <w:rsid w:val="00DC780F"/>
    <w:rsid w:val="00DD1B9F"/>
    <w:rsid w:val="00DD2F5D"/>
    <w:rsid w:val="00DD4363"/>
    <w:rsid w:val="00DE165D"/>
    <w:rsid w:val="00DE4540"/>
    <w:rsid w:val="00DE50EE"/>
    <w:rsid w:val="00DF095B"/>
    <w:rsid w:val="00DF1CE8"/>
    <w:rsid w:val="00DF31EE"/>
    <w:rsid w:val="00DF55D8"/>
    <w:rsid w:val="00E07F9C"/>
    <w:rsid w:val="00E10061"/>
    <w:rsid w:val="00E10981"/>
    <w:rsid w:val="00E119E0"/>
    <w:rsid w:val="00E146AD"/>
    <w:rsid w:val="00E17A98"/>
    <w:rsid w:val="00E204FA"/>
    <w:rsid w:val="00E22596"/>
    <w:rsid w:val="00E230C2"/>
    <w:rsid w:val="00E23FBF"/>
    <w:rsid w:val="00E2410F"/>
    <w:rsid w:val="00E25777"/>
    <w:rsid w:val="00E273D1"/>
    <w:rsid w:val="00E3120A"/>
    <w:rsid w:val="00E40F6E"/>
    <w:rsid w:val="00E41AEE"/>
    <w:rsid w:val="00E473DA"/>
    <w:rsid w:val="00E50A12"/>
    <w:rsid w:val="00E51EBB"/>
    <w:rsid w:val="00E53879"/>
    <w:rsid w:val="00E55DB1"/>
    <w:rsid w:val="00E5765D"/>
    <w:rsid w:val="00E605FB"/>
    <w:rsid w:val="00E63ACF"/>
    <w:rsid w:val="00E63BFA"/>
    <w:rsid w:val="00E67703"/>
    <w:rsid w:val="00E7753E"/>
    <w:rsid w:val="00E77CF3"/>
    <w:rsid w:val="00E85E68"/>
    <w:rsid w:val="00E872E0"/>
    <w:rsid w:val="00E87FFE"/>
    <w:rsid w:val="00E95C10"/>
    <w:rsid w:val="00E97777"/>
    <w:rsid w:val="00EA5C99"/>
    <w:rsid w:val="00EA6772"/>
    <w:rsid w:val="00EB0EC5"/>
    <w:rsid w:val="00EB284D"/>
    <w:rsid w:val="00EB287D"/>
    <w:rsid w:val="00EB3392"/>
    <w:rsid w:val="00EB6661"/>
    <w:rsid w:val="00EC1902"/>
    <w:rsid w:val="00EC39D5"/>
    <w:rsid w:val="00EC4760"/>
    <w:rsid w:val="00ED324D"/>
    <w:rsid w:val="00ED3A2C"/>
    <w:rsid w:val="00ED5206"/>
    <w:rsid w:val="00EE6CBB"/>
    <w:rsid w:val="00EF3B3B"/>
    <w:rsid w:val="00EF421F"/>
    <w:rsid w:val="00EF495F"/>
    <w:rsid w:val="00F03CE3"/>
    <w:rsid w:val="00F073DF"/>
    <w:rsid w:val="00F10ACF"/>
    <w:rsid w:val="00F1616D"/>
    <w:rsid w:val="00F22C93"/>
    <w:rsid w:val="00F40BF3"/>
    <w:rsid w:val="00F41081"/>
    <w:rsid w:val="00F43B7E"/>
    <w:rsid w:val="00F43D1F"/>
    <w:rsid w:val="00F47155"/>
    <w:rsid w:val="00F52A2C"/>
    <w:rsid w:val="00F54A77"/>
    <w:rsid w:val="00F5516E"/>
    <w:rsid w:val="00F57AA2"/>
    <w:rsid w:val="00F67DD2"/>
    <w:rsid w:val="00F70C18"/>
    <w:rsid w:val="00F713E3"/>
    <w:rsid w:val="00F82F07"/>
    <w:rsid w:val="00FA12F2"/>
    <w:rsid w:val="00FA244B"/>
    <w:rsid w:val="00FA4865"/>
    <w:rsid w:val="00FA4AC5"/>
    <w:rsid w:val="00FA6439"/>
    <w:rsid w:val="00FA7325"/>
    <w:rsid w:val="00FB2657"/>
    <w:rsid w:val="00FB6C24"/>
    <w:rsid w:val="00FC53F0"/>
    <w:rsid w:val="00FD709A"/>
    <w:rsid w:val="00FE1C20"/>
    <w:rsid w:val="00FF1A87"/>
    <w:rsid w:val="00FF1FA9"/>
    <w:rsid w:val="00FF2861"/>
    <w:rsid w:val="00FF61E3"/>
    <w:rsid w:val="03B617E2"/>
    <w:rsid w:val="083C6E73"/>
    <w:rsid w:val="0EA65ECD"/>
    <w:rsid w:val="19C25906"/>
    <w:rsid w:val="19DF365D"/>
    <w:rsid w:val="1D126CCD"/>
    <w:rsid w:val="1E3015D9"/>
    <w:rsid w:val="1EF24A18"/>
    <w:rsid w:val="2AB4471E"/>
    <w:rsid w:val="2D2E7A7E"/>
    <w:rsid w:val="2EB22044"/>
    <w:rsid w:val="2F730EFC"/>
    <w:rsid w:val="306F49BB"/>
    <w:rsid w:val="34A63D59"/>
    <w:rsid w:val="383B1FD9"/>
    <w:rsid w:val="3E22688C"/>
    <w:rsid w:val="44CD381D"/>
    <w:rsid w:val="463F19E2"/>
    <w:rsid w:val="477E1EE2"/>
    <w:rsid w:val="47933481"/>
    <w:rsid w:val="48112EC6"/>
    <w:rsid w:val="49CE6FE4"/>
    <w:rsid w:val="4D917D93"/>
    <w:rsid w:val="525C4DD9"/>
    <w:rsid w:val="52A77EB5"/>
    <w:rsid w:val="57067DBD"/>
    <w:rsid w:val="5AB242B3"/>
    <w:rsid w:val="5E6803CD"/>
    <w:rsid w:val="60E36AA1"/>
    <w:rsid w:val="6AEA3907"/>
    <w:rsid w:val="707202DA"/>
    <w:rsid w:val="73181F2A"/>
    <w:rsid w:val="7A29185D"/>
    <w:rsid w:val="7A9C2045"/>
    <w:rsid w:val="7CF94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13083E-8A16-407B-8A32-321CB32D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unhideWhenUsed="1" w:qFormat="1"/>
    <w:lsdException w:name="heading 5"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rPr>
  </w:style>
  <w:style w:type="paragraph" w:styleId="4">
    <w:name w:val="heading 4"/>
    <w:basedOn w:val="a"/>
    <w:next w:val="a"/>
    <w:link w:val="40"/>
    <w:unhideWhenUsed/>
    <w:qFormat/>
    <w:pPr>
      <w:keepNext/>
      <w:keepLines/>
      <w:spacing w:before="280" w:after="290" w:line="376" w:lineRule="atLeast"/>
      <w:ind w:firstLineChars="200" w:firstLine="200"/>
      <w:outlineLvl w:val="3"/>
    </w:pPr>
    <w:rPr>
      <w:rFonts w:asciiTheme="majorHAnsi" w:eastAsiaTheme="majorEastAsia" w:hAnsiTheme="majorHAnsi" w:cstheme="majorBidi"/>
      <w:b/>
      <w:bCs/>
      <w:sz w:val="36"/>
      <w:szCs w:val="28"/>
    </w:rPr>
  </w:style>
  <w:style w:type="paragraph" w:styleId="5">
    <w:name w:val="heading 5"/>
    <w:basedOn w:val="a"/>
    <w:next w:val="a"/>
    <w:link w:val="50"/>
    <w:unhideWhenUsed/>
    <w:qFormat/>
    <w:pPr>
      <w:keepNext/>
      <w:keepLines/>
      <w:spacing w:before="280" w:after="290" w:line="376" w:lineRule="atLeast"/>
      <w:ind w:firstLineChars="200" w:firstLine="200"/>
      <w:outlineLvl w:val="4"/>
    </w:pPr>
    <w:rPr>
      <w:rFonts w:ascii="Times New Roman" w:eastAsia="仿宋" w:hAnsi="Times New Roman"/>
      <w:b/>
      <w:b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endnote text"/>
    <w:basedOn w:val="a"/>
    <w:link w:val="a6"/>
    <w:uiPriority w:val="99"/>
    <w:semiHidden/>
    <w:unhideWhenUsed/>
    <w:qFormat/>
    <w:pPr>
      <w:snapToGrid w:val="0"/>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rPr>
  </w:style>
  <w:style w:type="paragraph" w:styleId="ab">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footnote text"/>
    <w:basedOn w:val="a"/>
    <w:link w:val="ad"/>
    <w:uiPriority w:val="99"/>
    <w:unhideWhenUsed/>
    <w:qFormat/>
    <w:pPr>
      <w:snapToGrid w:val="0"/>
      <w:jc w:val="left"/>
    </w:pPr>
    <w:rPr>
      <w:sz w:val="18"/>
      <w:szCs w:val="18"/>
    </w:rPr>
  </w:style>
  <w:style w:type="paragraph" w:styleId="ae">
    <w:name w:val="Title"/>
    <w:basedOn w:val="a"/>
    <w:next w:val="a"/>
    <w:link w:val="af"/>
    <w:qFormat/>
    <w:pPr>
      <w:spacing w:before="240" w:after="60" w:line="560" w:lineRule="exact"/>
      <w:ind w:firstLineChars="200" w:firstLine="200"/>
      <w:jc w:val="center"/>
      <w:outlineLvl w:val="0"/>
    </w:pPr>
    <w:rPr>
      <w:rFonts w:asciiTheme="majorHAnsi" w:eastAsiaTheme="majorEastAsia" w:hAnsiTheme="majorHAnsi" w:cstheme="majorBidi"/>
      <w:b/>
      <w:bCs/>
      <w:sz w:val="52"/>
      <w:szCs w:val="32"/>
    </w:rPr>
  </w:style>
  <w:style w:type="paragraph" w:styleId="af0">
    <w:name w:val="annotation subject"/>
    <w:basedOn w:val="a3"/>
    <w:next w:val="a3"/>
    <w:link w:val="af1"/>
    <w:uiPriority w:val="99"/>
    <w:semiHidden/>
    <w:unhideWhenUsed/>
    <w:qFormat/>
    <w:rPr>
      <w:b/>
      <w:bCs/>
    </w:rPr>
  </w:style>
  <w:style w:type="table" w:styleId="af2">
    <w:name w:val="Table Grid"/>
    <w:basedOn w:val="a1"/>
    <w:uiPriority w:val="59"/>
    <w:qFormat/>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ndnote reference"/>
    <w:basedOn w:val="a0"/>
    <w:uiPriority w:val="99"/>
    <w:semiHidden/>
    <w:unhideWhenUsed/>
    <w:qFormat/>
    <w:rPr>
      <w:vertAlign w:val="superscript"/>
    </w:rPr>
  </w:style>
  <w:style w:type="character" w:styleId="af4">
    <w:name w:val="Hyperlink"/>
    <w:basedOn w:val="a0"/>
    <w:uiPriority w:val="99"/>
    <w:unhideWhenUsed/>
    <w:qFormat/>
    <w:rPr>
      <w:color w:val="0000FF"/>
      <w:u w:val="single"/>
    </w:rPr>
  </w:style>
  <w:style w:type="character" w:styleId="af5">
    <w:name w:val="annotation reference"/>
    <w:basedOn w:val="a0"/>
    <w:uiPriority w:val="99"/>
    <w:semiHidden/>
    <w:unhideWhenUsed/>
    <w:qFormat/>
    <w:rPr>
      <w:sz w:val="21"/>
      <w:szCs w:val="21"/>
    </w:rPr>
  </w:style>
  <w:style w:type="character" w:styleId="af6">
    <w:name w:val="footnote reference"/>
    <w:basedOn w:val="a0"/>
    <w:uiPriority w:val="99"/>
    <w:semiHidden/>
    <w:unhideWhenUsed/>
    <w:qFormat/>
    <w:rPr>
      <w:vertAlign w:val="superscript"/>
    </w:rPr>
  </w:style>
  <w:style w:type="paragraph" w:styleId="af7">
    <w:name w:val="List Paragraph"/>
    <w:basedOn w:val="a"/>
    <w:uiPriority w:val="34"/>
    <w:qFormat/>
    <w:pPr>
      <w:ind w:firstLineChars="200" w:firstLine="420"/>
    </w:pPr>
  </w:style>
  <w:style w:type="character" w:customStyle="1" w:styleId="af">
    <w:name w:val="标题 字符"/>
    <w:basedOn w:val="a0"/>
    <w:link w:val="ae"/>
    <w:qFormat/>
    <w:rPr>
      <w:rFonts w:asciiTheme="majorHAnsi" w:eastAsiaTheme="majorEastAsia" w:hAnsiTheme="majorHAnsi" w:cstheme="majorBidi"/>
      <w:b/>
      <w:bCs/>
      <w:sz w:val="52"/>
      <w:szCs w:val="32"/>
    </w:rPr>
  </w:style>
  <w:style w:type="character" w:customStyle="1" w:styleId="40">
    <w:name w:val="标题 4 字符"/>
    <w:basedOn w:val="a0"/>
    <w:link w:val="4"/>
    <w:qFormat/>
    <w:rPr>
      <w:rFonts w:asciiTheme="majorHAnsi" w:eastAsiaTheme="majorEastAsia" w:hAnsiTheme="majorHAnsi" w:cstheme="majorBidi"/>
      <w:b/>
      <w:bCs/>
      <w:sz w:val="36"/>
      <w:szCs w:val="28"/>
    </w:rPr>
  </w:style>
  <w:style w:type="character" w:customStyle="1" w:styleId="50">
    <w:name w:val="标题 5 字符"/>
    <w:basedOn w:val="a0"/>
    <w:link w:val="5"/>
    <w:qFormat/>
    <w:rPr>
      <w:rFonts w:ascii="Times New Roman" w:eastAsia="仿宋" w:hAnsi="Times New Roman"/>
      <w:b/>
      <w:bCs/>
      <w:sz w:val="30"/>
      <w:szCs w:val="28"/>
    </w:rPr>
  </w:style>
  <w:style w:type="character" w:customStyle="1" w:styleId="a8">
    <w:name w:val="批注框文本 字符"/>
    <w:basedOn w:val="a0"/>
    <w:link w:val="a7"/>
    <w:uiPriority w:val="99"/>
    <w:semiHidden/>
    <w:qFormat/>
    <w:rPr>
      <w:sz w:val="18"/>
      <w:szCs w:val="18"/>
    </w:rPr>
  </w:style>
  <w:style w:type="character" w:styleId="af8">
    <w:name w:val="Placeholder Text"/>
    <w:basedOn w:val="a0"/>
    <w:uiPriority w:val="99"/>
    <w:semiHidden/>
    <w:qFormat/>
    <w:rPr>
      <w:color w:val="808080"/>
    </w:rPr>
  </w:style>
  <w:style w:type="character" w:customStyle="1" w:styleId="aa">
    <w:name w:val="页脚 字符"/>
    <w:basedOn w:val="a0"/>
    <w:link w:val="a9"/>
    <w:uiPriority w:val="99"/>
    <w:qFormat/>
    <w:rPr>
      <w:rFonts w:ascii="Calibri" w:hAnsi="Calibri"/>
      <w:kern w:val="2"/>
      <w:sz w:val="18"/>
    </w:rPr>
  </w:style>
  <w:style w:type="character" w:customStyle="1" w:styleId="ad">
    <w:name w:val="脚注文本 字符"/>
    <w:basedOn w:val="a0"/>
    <w:link w:val="ac"/>
    <w:uiPriority w:val="99"/>
    <w:qFormat/>
    <w:rPr>
      <w:rFonts w:ascii="Calibri" w:hAnsi="Calibri"/>
      <w:kern w:val="2"/>
      <w:sz w:val="18"/>
      <w:szCs w:val="18"/>
    </w:rPr>
  </w:style>
  <w:style w:type="character" w:customStyle="1" w:styleId="a6">
    <w:name w:val="尾注文本 字符"/>
    <w:basedOn w:val="a0"/>
    <w:link w:val="a5"/>
    <w:uiPriority w:val="99"/>
    <w:semiHidden/>
    <w:qFormat/>
    <w:rPr>
      <w:rFonts w:ascii="Calibri" w:hAnsi="Calibri"/>
      <w:kern w:val="2"/>
    </w:rPr>
  </w:style>
  <w:style w:type="paragraph" w:customStyle="1" w:styleId="ETME">
    <w:name w:val="ETME内容基本样式"/>
    <w:qFormat/>
    <w:pPr>
      <w:spacing w:before="240" w:line="360" w:lineRule="auto"/>
    </w:pPr>
    <w:rPr>
      <w:color w:val="000000"/>
      <w:sz w:val="24"/>
    </w:rPr>
  </w:style>
  <w:style w:type="table" w:customStyle="1" w:styleId="61">
    <w:name w:val="清单表 6 彩色1"/>
    <w:basedOn w:val="a1"/>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4">
    <w:name w:val="批注文字 字符"/>
    <w:basedOn w:val="a0"/>
    <w:link w:val="a3"/>
    <w:uiPriority w:val="99"/>
    <w:semiHidden/>
    <w:rPr>
      <w:rFonts w:ascii="Calibri" w:hAnsi="Calibri"/>
      <w:kern w:val="2"/>
    </w:rPr>
  </w:style>
  <w:style w:type="character" w:customStyle="1" w:styleId="af1">
    <w:name w:val="批注主题 字符"/>
    <w:basedOn w:val="a4"/>
    <w:link w:val="af0"/>
    <w:uiPriority w:val="99"/>
    <w:semiHidden/>
    <w:rPr>
      <w:rFonts w:ascii="Calibri" w:hAnsi="Calibri"/>
      <w:b/>
      <w:bCs/>
      <w:kern w:val="2"/>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jumppagecontentlisttitle1">
    <w:name w:val="jumppagecontentlisttitle1"/>
    <w:basedOn w:val="a0"/>
    <w:rsid w:val="009B086D"/>
    <w:rPr>
      <w:vanish w:val="0"/>
      <w:webHidden w:val="0"/>
      <w:specVanish w:val="0"/>
    </w:rPr>
  </w:style>
  <w:style w:type="character" w:customStyle="1" w:styleId="jumppagecontentlistfont1">
    <w:name w:val="jumppagecontentlistfont1"/>
    <w:basedOn w:val="a0"/>
    <w:rsid w:val="009B086D"/>
    <w:rPr>
      <w:vanish w:val="0"/>
      <w:webHidden w:val="0"/>
      <w:specVanish w:val="0"/>
    </w:rPr>
  </w:style>
  <w:style w:type="paragraph" w:styleId="af9">
    <w:name w:val="Normal (Web)"/>
    <w:basedOn w:val="a"/>
    <w:uiPriority w:val="99"/>
    <w:semiHidden/>
    <w:unhideWhenUsed/>
    <w:rsid w:val="004934E3"/>
    <w:pPr>
      <w:widowControl/>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22096">
      <w:bodyDiv w:val="1"/>
      <w:marLeft w:val="0"/>
      <w:marRight w:val="0"/>
      <w:marTop w:val="0"/>
      <w:marBottom w:val="0"/>
      <w:divBdr>
        <w:top w:val="none" w:sz="0" w:space="0" w:color="auto"/>
        <w:left w:val="none" w:sz="0" w:space="0" w:color="auto"/>
        <w:bottom w:val="none" w:sz="0" w:space="0" w:color="auto"/>
        <w:right w:val="none" w:sz="0" w:space="0" w:color="auto"/>
      </w:divBdr>
      <w:divsChild>
        <w:div w:id="1652446153">
          <w:marLeft w:val="0"/>
          <w:marRight w:val="0"/>
          <w:marTop w:val="0"/>
          <w:marBottom w:val="0"/>
          <w:divBdr>
            <w:top w:val="none" w:sz="0" w:space="0" w:color="auto"/>
            <w:left w:val="none" w:sz="0" w:space="0" w:color="auto"/>
            <w:bottom w:val="none" w:sz="0" w:space="0" w:color="auto"/>
            <w:right w:val="none" w:sz="0" w:space="0" w:color="auto"/>
          </w:divBdr>
          <w:divsChild>
            <w:div w:id="7734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12225">
      <w:bodyDiv w:val="1"/>
      <w:marLeft w:val="0"/>
      <w:marRight w:val="0"/>
      <w:marTop w:val="0"/>
      <w:marBottom w:val="0"/>
      <w:divBdr>
        <w:top w:val="none" w:sz="0" w:space="0" w:color="auto"/>
        <w:left w:val="none" w:sz="0" w:space="0" w:color="auto"/>
        <w:bottom w:val="none" w:sz="0" w:space="0" w:color="auto"/>
        <w:right w:val="none" w:sz="0" w:space="0" w:color="auto"/>
      </w:divBdr>
      <w:divsChild>
        <w:div w:id="158273577">
          <w:marLeft w:val="0"/>
          <w:marRight w:val="0"/>
          <w:marTop w:val="0"/>
          <w:marBottom w:val="0"/>
          <w:divBdr>
            <w:top w:val="none" w:sz="0" w:space="0" w:color="auto"/>
            <w:left w:val="none" w:sz="0" w:space="0" w:color="auto"/>
            <w:bottom w:val="none" w:sz="0" w:space="0" w:color="auto"/>
            <w:right w:val="none" w:sz="0" w:space="0" w:color="auto"/>
          </w:divBdr>
          <w:divsChild>
            <w:div w:id="1253733548">
              <w:marLeft w:val="0"/>
              <w:marRight w:val="0"/>
              <w:marTop w:val="0"/>
              <w:marBottom w:val="0"/>
              <w:divBdr>
                <w:top w:val="none" w:sz="0" w:space="0" w:color="auto"/>
                <w:left w:val="none" w:sz="0" w:space="0" w:color="auto"/>
                <w:bottom w:val="none" w:sz="0" w:space="0" w:color="auto"/>
                <w:right w:val="none" w:sz="0" w:space="0" w:color="auto"/>
              </w:divBdr>
              <w:divsChild>
                <w:div w:id="1259751401">
                  <w:marLeft w:val="0"/>
                  <w:marRight w:val="0"/>
                  <w:marTop w:val="0"/>
                  <w:marBottom w:val="0"/>
                  <w:divBdr>
                    <w:top w:val="none" w:sz="0" w:space="0" w:color="auto"/>
                    <w:left w:val="none" w:sz="0" w:space="0" w:color="auto"/>
                    <w:bottom w:val="none" w:sz="0" w:space="0" w:color="auto"/>
                    <w:right w:val="none" w:sz="0" w:space="0" w:color="auto"/>
                  </w:divBdr>
                  <w:divsChild>
                    <w:div w:id="1854300949">
                      <w:marLeft w:val="0"/>
                      <w:marRight w:val="0"/>
                      <w:marTop w:val="0"/>
                      <w:marBottom w:val="0"/>
                      <w:divBdr>
                        <w:top w:val="none" w:sz="0" w:space="0" w:color="auto"/>
                        <w:left w:val="none" w:sz="0" w:space="0" w:color="auto"/>
                        <w:bottom w:val="none" w:sz="0" w:space="0" w:color="auto"/>
                        <w:right w:val="none" w:sz="0" w:space="0" w:color="auto"/>
                      </w:divBdr>
                      <w:divsChild>
                        <w:div w:id="1317417026">
                          <w:marLeft w:val="0"/>
                          <w:marRight w:val="0"/>
                          <w:marTop w:val="0"/>
                          <w:marBottom w:val="0"/>
                          <w:divBdr>
                            <w:top w:val="single" w:sz="6" w:space="0" w:color="CCCCCC"/>
                            <w:left w:val="single" w:sz="6" w:space="0" w:color="CCCCCC"/>
                            <w:bottom w:val="single" w:sz="6" w:space="0" w:color="CCCCCC"/>
                            <w:right w:val="single" w:sz="6" w:space="0" w:color="CCCCCC"/>
                          </w:divBdr>
                          <w:divsChild>
                            <w:div w:id="1194539326">
                              <w:marLeft w:val="0"/>
                              <w:marRight w:val="0"/>
                              <w:marTop w:val="0"/>
                              <w:marBottom w:val="0"/>
                              <w:divBdr>
                                <w:top w:val="none" w:sz="0" w:space="0" w:color="auto"/>
                                <w:left w:val="none" w:sz="0" w:space="0" w:color="auto"/>
                                <w:bottom w:val="none" w:sz="0" w:space="0" w:color="auto"/>
                                <w:right w:val="none" w:sz="0" w:space="0" w:color="auto"/>
                              </w:divBdr>
                              <w:divsChild>
                                <w:div w:id="895581048">
                                  <w:marLeft w:val="0"/>
                                  <w:marRight w:val="0"/>
                                  <w:marTop w:val="0"/>
                                  <w:marBottom w:val="0"/>
                                  <w:divBdr>
                                    <w:top w:val="none" w:sz="0" w:space="0" w:color="auto"/>
                                    <w:left w:val="none" w:sz="0" w:space="0" w:color="auto"/>
                                    <w:bottom w:val="none" w:sz="0" w:space="0" w:color="auto"/>
                                    <w:right w:val="none" w:sz="0" w:space="0" w:color="auto"/>
                                  </w:divBdr>
                                  <w:divsChild>
                                    <w:div w:id="1913733653">
                                      <w:marLeft w:val="0"/>
                                      <w:marRight w:val="0"/>
                                      <w:marTop w:val="0"/>
                                      <w:marBottom w:val="0"/>
                                      <w:divBdr>
                                        <w:top w:val="none" w:sz="0" w:space="0" w:color="auto"/>
                                        <w:left w:val="none" w:sz="0" w:space="0" w:color="auto"/>
                                        <w:bottom w:val="none" w:sz="0" w:space="0" w:color="auto"/>
                                        <w:right w:val="none" w:sz="0" w:space="0" w:color="auto"/>
                                      </w:divBdr>
                                      <w:divsChild>
                                        <w:div w:id="17057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image" Target="media/image6.wmf"/><Relationship Id="rId42" Type="http://schemas.openxmlformats.org/officeDocument/2006/relationships/image" Target="media/image15.wmf"/><Relationship Id="rId47" Type="http://schemas.openxmlformats.org/officeDocument/2006/relationships/oleObject" Target="embeddings/oleObject20.bin"/><Relationship Id="rId63" Type="http://schemas.openxmlformats.org/officeDocument/2006/relationships/image" Target="media/image25.wmf"/><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baike.baidu.com/item/%E5%AE%9A%E6%80%A7%E8%AF%84%E4%BB%B7/6155956" TargetMode="External"/><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oleObject" Target="embeddings/oleObject19.bin"/><Relationship Id="rId53" Type="http://schemas.openxmlformats.org/officeDocument/2006/relationships/image" Target="media/image20.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settings" Target="settings.xml"/><Relationship Id="rId61" Type="http://schemas.openxmlformats.org/officeDocument/2006/relationships/image" Target="media/image24.wmf"/><Relationship Id="rId19" Type="http://schemas.openxmlformats.org/officeDocument/2006/relationships/image" Target="media/image5.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18.w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2.bin"/><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image" Target="media/image17.wmf"/><Relationship Id="rId59" Type="http://schemas.openxmlformats.org/officeDocument/2006/relationships/image" Target="media/image23.wmf"/><Relationship Id="rId67" Type="http://schemas.openxmlformats.org/officeDocument/2006/relationships/footer" Target="footer1.xml"/><Relationship Id="rId20" Type="http://schemas.openxmlformats.org/officeDocument/2006/relationships/oleObject" Target="embeddings/oleObject5.bin"/><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ike.baidu.com/item/%E6%A8%A1%E7%B3%8A%E6%95%B0%E5%AD%A6/463586" TargetMode="External"/><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6.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6.wmf"/><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oleObject" Target="embeddings/oleObject16.bin"/><Relationship Id="rId34" Type="http://schemas.openxmlformats.org/officeDocument/2006/relationships/image" Target="media/image12.wmf"/><Relationship Id="rId50" Type="http://schemas.openxmlformats.org/officeDocument/2006/relationships/image" Target="media/image19.wmf"/><Relationship Id="rId55" Type="http://schemas.openxmlformats.org/officeDocument/2006/relationships/image" Target="media/image2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BE50B-6C4D-4A59-8D8A-C6EB58C6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2344</Words>
  <Characters>13365</Characters>
  <Application>Microsoft Office Word</Application>
  <DocSecurity>0</DocSecurity>
  <Lines>111</Lines>
  <Paragraphs>31</Paragraphs>
  <ScaleCrop>false</ScaleCrop>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 xuejun</dc:creator>
  <cp:lastModifiedBy>ZW</cp:lastModifiedBy>
  <cp:revision>9</cp:revision>
  <cp:lastPrinted>2020-12-28T00:43:00Z</cp:lastPrinted>
  <dcterms:created xsi:type="dcterms:W3CDTF">2020-12-26T11:28:00Z</dcterms:created>
  <dcterms:modified xsi:type="dcterms:W3CDTF">2021-06-25T02:23:00Z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