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BB" w:rsidRPr="00881D3C" w:rsidRDefault="007D4DA9">
      <w:pPr>
        <w:spacing w:line="560" w:lineRule="exact"/>
        <w:jc w:val="center"/>
        <w:rPr>
          <w:rFonts w:ascii="黑体" w:eastAsia="黑体" w:hAnsi="黑体" w:cs="黑体"/>
          <w:sz w:val="36"/>
          <w:szCs w:val="36"/>
        </w:rPr>
      </w:pPr>
      <w:r w:rsidRPr="00881D3C">
        <w:rPr>
          <w:rFonts w:ascii="黑体" w:eastAsia="黑体" w:hAnsi="黑体" w:cs="黑体" w:hint="eastAsia"/>
          <w:sz w:val="36"/>
          <w:szCs w:val="36"/>
        </w:rPr>
        <w:t>北京市</w:t>
      </w:r>
      <w:r w:rsidR="008721DD" w:rsidRPr="00881D3C">
        <w:rPr>
          <w:rFonts w:ascii="黑体" w:eastAsia="黑体" w:hAnsi="黑体" w:cs="黑体" w:hint="eastAsia"/>
          <w:sz w:val="36"/>
          <w:szCs w:val="36"/>
        </w:rPr>
        <w:t>顺义区腾退空间再利用相关问题研究</w:t>
      </w:r>
      <w:r w:rsidR="008721DD" w:rsidRPr="00881D3C">
        <w:rPr>
          <w:rStyle w:val="af1"/>
          <w:rFonts w:ascii="黑体" w:eastAsia="黑体" w:hAnsi="黑体" w:cs="黑体" w:hint="eastAsia"/>
          <w:sz w:val="36"/>
          <w:szCs w:val="36"/>
        </w:rPr>
        <w:footnoteReference w:id="1"/>
      </w:r>
      <w:r w:rsidR="008721DD" w:rsidRPr="00881D3C">
        <w:rPr>
          <w:rFonts w:ascii="黑体" w:eastAsia="黑体" w:hAnsi="黑体" w:cs="黑体" w:hint="eastAsia"/>
          <w:color w:val="FF0000"/>
          <w:sz w:val="36"/>
          <w:szCs w:val="36"/>
        </w:rPr>
        <w:t xml:space="preserve"> </w:t>
      </w:r>
    </w:p>
    <w:p w:rsidR="00973FBB" w:rsidRPr="00881D3C" w:rsidRDefault="008721DD" w:rsidP="00A91B55">
      <w:pPr>
        <w:pStyle w:val="ac"/>
        <w:spacing w:beforeAutospacing="0" w:afterAutospacing="0" w:line="560" w:lineRule="exact"/>
        <w:jc w:val="center"/>
        <w:rPr>
          <w:rFonts w:ascii="仿宋_GB2312" w:eastAsia="仿宋_GB2312" w:hAnsi="仿宋_GB2312" w:cs="仿宋_GB2312"/>
          <w:color w:val="FF0000"/>
          <w:kern w:val="2"/>
          <w:sz w:val="21"/>
          <w:szCs w:val="21"/>
        </w:rPr>
      </w:pPr>
      <w:r w:rsidRPr="00881D3C">
        <w:rPr>
          <w:rFonts w:ascii="宋体" w:eastAsia="宋体" w:hAnsi="宋体" w:cs="宋体" w:hint="eastAsia"/>
          <w:kern w:val="2"/>
          <w:sz w:val="21"/>
          <w:szCs w:val="21"/>
        </w:rPr>
        <w:t>张萌，任喜洋</w:t>
      </w:r>
    </w:p>
    <w:p w:rsidR="00973FBB" w:rsidRPr="00881D3C" w:rsidRDefault="008721DD">
      <w:pPr>
        <w:pStyle w:val="ac"/>
        <w:spacing w:beforeAutospacing="0" w:afterAutospacing="0" w:line="360" w:lineRule="auto"/>
        <w:jc w:val="center"/>
        <w:rPr>
          <w:rFonts w:ascii="宋体" w:eastAsia="宋体" w:hAnsi="宋体" w:cs="宋体"/>
          <w:kern w:val="2"/>
          <w:sz w:val="21"/>
          <w:szCs w:val="21"/>
        </w:rPr>
      </w:pPr>
      <w:r w:rsidRPr="00881D3C">
        <w:rPr>
          <w:rFonts w:ascii="宋体" w:eastAsia="宋体" w:hAnsi="宋体" w:cs="宋体" w:hint="eastAsia"/>
          <w:kern w:val="2"/>
          <w:sz w:val="21"/>
          <w:szCs w:val="21"/>
        </w:rPr>
        <w:t>（中国自然资源经济研究院，北京 101149）</w:t>
      </w:r>
    </w:p>
    <w:p w:rsidR="00881D3C" w:rsidRDefault="00881D3C" w:rsidP="00E821D7">
      <w:pPr>
        <w:pStyle w:val="ac"/>
        <w:wordWrap w:val="0"/>
        <w:spacing w:beforeAutospacing="0" w:afterAutospacing="0" w:line="360" w:lineRule="auto"/>
        <w:jc w:val="both"/>
        <w:rPr>
          <w:rFonts w:ascii="宋体" w:eastAsia="宋体" w:hAnsi="宋体" w:cs="宋体"/>
          <w:b/>
          <w:bCs/>
          <w:kern w:val="2"/>
          <w:sz w:val="21"/>
          <w:szCs w:val="21"/>
        </w:rPr>
      </w:pPr>
    </w:p>
    <w:p w:rsidR="00973FBB" w:rsidRDefault="008721DD" w:rsidP="00E821D7">
      <w:pPr>
        <w:pStyle w:val="ac"/>
        <w:wordWrap w:val="0"/>
        <w:spacing w:beforeAutospacing="0" w:afterAutospacing="0" w:line="360" w:lineRule="auto"/>
        <w:jc w:val="both"/>
        <w:rPr>
          <w:rFonts w:ascii="宋体" w:eastAsia="宋体" w:hAnsi="宋体" w:cs="宋体"/>
          <w:kern w:val="2"/>
          <w:sz w:val="21"/>
          <w:szCs w:val="21"/>
        </w:rPr>
      </w:pPr>
      <w:r w:rsidRPr="00E821D7">
        <w:rPr>
          <w:rFonts w:ascii="宋体" w:eastAsia="宋体" w:hAnsi="宋体" w:cs="宋体" w:hint="eastAsia"/>
          <w:b/>
          <w:bCs/>
          <w:kern w:val="2"/>
          <w:sz w:val="21"/>
          <w:szCs w:val="21"/>
        </w:rPr>
        <w:t>摘要：</w:t>
      </w:r>
      <w:r>
        <w:rPr>
          <w:rFonts w:ascii="宋体" w:eastAsia="宋体" w:hAnsi="宋体" w:cs="宋体" w:hint="eastAsia"/>
          <w:kern w:val="2"/>
          <w:sz w:val="21"/>
          <w:szCs w:val="21"/>
        </w:rPr>
        <w:t>腾退空间再利用能够有效利用土地资源，实现企业的转型升级，提升城市品质，是经济发展的重要推手。针对</w:t>
      </w:r>
      <w:r w:rsidR="007D4DA9">
        <w:rPr>
          <w:rFonts w:ascii="宋体" w:eastAsia="宋体" w:hAnsi="宋体" w:cs="宋体" w:hint="eastAsia"/>
          <w:kern w:val="2"/>
          <w:sz w:val="21"/>
          <w:szCs w:val="21"/>
        </w:rPr>
        <w:t>北京市</w:t>
      </w:r>
      <w:r>
        <w:rPr>
          <w:rFonts w:ascii="宋体" w:eastAsia="宋体" w:hAnsi="宋体" w:cs="宋体" w:hint="eastAsia"/>
          <w:kern w:val="2"/>
          <w:sz w:val="21"/>
          <w:szCs w:val="21"/>
        </w:rPr>
        <w:t>顺义区土地腾退后</w:t>
      </w:r>
      <w:proofErr w:type="gramStart"/>
      <w:r>
        <w:rPr>
          <w:rFonts w:ascii="宋体" w:eastAsia="宋体" w:hAnsi="宋体" w:cs="宋体" w:hint="eastAsia"/>
          <w:kern w:val="2"/>
          <w:sz w:val="21"/>
          <w:szCs w:val="21"/>
        </w:rPr>
        <w:t>待利用</w:t>
      </w:r>
      <w:proofErr w:type="gramEnd"/>
      <w:r>
        <w:rPr>
          <w:rFonts w:ascii="宋体" w:eastAsia="宋体" w:hAnsi="宋体" w:cs="宋体" w:hint="eastAsia"/>
          <w:kern w:val="2"/>
          <w:sz w:val="21"/>
          <w:szCs w:val="21"/>
        </w:rPr>
        <w:t>空间分布广、责任主体多、产权关系复杂等问题，从建设用地减量化发展、功能分区、产业定位、开发模式等角度，提出下一步腾退空间再利用政策措施建议，以实现土地的节约集约高效利用。</w:t>
      </w:r>
    </w:p>
    <w:p w:rsidR="00973FBB" w:rsidRDefault="008721DD" w:rsidP="00E821D7">
      <w:pPr>
        <w:pStyle w:val="ac"/>
        <w:wordWrap w:val="0"/>
        <w:spacing w:beforeAutospacing="0" w:afterAutospacing="0" w:line="360" w:lineRule="auto"/>
        <w:jc w:val="both"/>
        <w:rPr>
          <w:rFonts w:ascii="宋体" w:eastAsia="宋体" w:hAnsi="宋体" w:cs="宋体"/>
          <w:kern w:val="2"/>
          <w:sz w:val="21"/>
          <w:szCs w:val="21"/>
        </w:rPr>
      </w:pPr>
      <w:r w:rsidRPr="00E821D7">
        <w:rPr>
          <w:rFonts w:ascii="宋体" w:eastAsia="宋体" w:hAnsi="宋体" w:cs="宋体" w:hint="eastAsia"/>
          <w:b/>
          <w:bCs/>
          <w:kern w:val="2"/>
          <w:sz w:val="21"/>
          <w:szCs w:val="21"/>
        </w:rPr>
        <w:t>关键词：</w:t>
      </w:r>
      <w:r>
        <w:rPr>
          <w:rFonts w:ascii="宋体" w:eastAsia="宋体" w:hAnsi="宋体" w:cs="宋体" w:hint="eastAsia"/>
          <w:kern w:val="2"/>
          <w:sz w:val="21"/>
          <w:szCs w:val="21"/>
        </w:rPr>
        <w:t>腾退空间；再利用；合理利用；顺义区</w:t>
      </w:r>
    </w:p>
    <w:p w:rsidR="00973FBB" w:rsidRPr="00881D3C" w:rsidRDefault="008721DD">
      <w:pPr>
        <w:spacing w:line="360" w:lineRule="auto"/>
        <w:rPr>
          <w:rFonts w:ascii="宋体" w:hAnsi="宋体"/>
          <w:szCs w:val="21"/>
        </w:rPr>
      </w:pPr>
      <w:r>
        <w:rPr>
          <w:rFonts w:ascii="宋体" w:hAnsi="宋体"/>
          <w:b/>
          <w:bCs/>
          <w:szCs w:val="21"/>
        </w:rPr>
        <w:t>中图分类号</w:t>
      </w:r>
      <w:r>
        <w:rPr>
          <w:rFonts w:ascii="宋体" w:hAnsi="宋体"/>
          <w:b/>
          <w:szCs w:val="21"/>
        </w:rPr>
        <w:t>：</w:t>
      </w:r>
      <w:r>
        <w:rPr>
          <w:rFonts w:ascii="宋体" w:hAnsi="宋体"/>
          <w:szCs w:val="21"/>
        </w:rPr>
        <w:t>F</w:t>
      </w:r>
      <w:r>
        <w:rPr>
          <w:rFonts w:ascii="宋体" w:hAnsi="宋体" w:hint="eastAsia"/>
          <w:szCs w:val="21"/>
        </w:rPr>
        <w:t>301.2</w:t>
      </w:r>
      <w:r>
        <w:rPr>
          <w:rFonts w:ascii="宋体" w:hAnsi="宋体"/>
          <w:szCs w:val="21"/>
        </w:rPr>
        <w:t>；F062.1</w:t>
      </w:r>
      <w:r>
        <w:rPr>
          <w:rFonts w:ascii="宋体" w:hAnsi="宋体"/>
          <w:b/>
          <w:szCs w:val="21"/>
        </w:rPr>
        <w:t xml:space="preserve">  文献标识码：</w:t>
      </w:r>
      <w:r>
        <w:rPr>
          <w:rFonts w:ascii="宋体" w:hAnsi="宋体"/>
          <w:szCs w:val="21"/>
        </w:rPr>
        <w:t>A</w:t>
      </w:r>
      <w:r>
        <w:rPr>
          <w:rFonts w:ascii="宋体" w:hAnsi="宋体"/>
          <w:b/>
          <w:szCs w:val="21"/>
        </w:rPr>
        <w:t xml:space="preserve">  文章编号：</w:t>
      </w:r>
      <w:r w:rsidRPr="00881D3C">
        <w:rPr>
          <w:rFonts w:ascii="宋体" w:hAnsi="宋体"/>
          <w:szCs w:val="21"/>
        </w:rPr>
        <w:t>1672-6995（2019）</w:t>
      </w:r>
      <w:r w:rsidRPr="00881D3C">
        <w:rPr>
          <w:rFonts w:ascii="宋体" w:hAnsi="宋体" w:hint="eastAsia"/>
          <w:szCs w:val="21"/>
        </w:rPr>
        <w:t>07</w:t>
      </w:r>
      <w:r w:rsidRPr="00881D3C">
        <w:rPr>
          <w:rFonts w:ascii="宋体" w:hAnsi="宋体"/>
          <w:szCs w:val="21"/>
        </w:rPr>
        <w:t>-0000-00</w:t>
      </w:r>
    </w:p>
    <w:p w:rsidR="00973FBB" w:rsidRDefault="008721DD">
      <w:pPr>
        <w:pStyle w:val="ac"/>
        <w:wordWrap w:val="0"/>
        <w:spacing w:beforeAutospacing="0" w:after="240" w:afterAutospacing="0" w:line="360" w:lineRule="auto"/>
        <w:jc w:val="both"/>
        <w:rPr>
          <w:rFonts w:ascii="宋体" w:hAnsi="宋体"/>
          <w:sz w:val="21"/>
          <w:szCs w:val="21"/>
        </w:rPr>
      </w:pPr>
      <w:r>
        <w:rPr>
          <w:rFonts w:ascii="宋体" w:hAnsi="宋体"/>
          <w:b/>
          <w:sz w:val="21"/>
          <w:szCs w:val="21"/>
        </w:rPr>
        <w:t>DOI：</w:t>
      </w:r>
      <w:r>
        <w:rPr>
          <w:rFonts w:ascii="宋体" w:hAnsi="宋体"/>
          <w:sz w:val="21"/>
          <w:szCs w:val="21"/>
        </w:rPr>
        <w:t>10.19676/j.cnki.1672-6995.000025</w:t>
      </w:r>
      <w:r>
        <w:rPr>
          <w:rFonts w:ascii="宋体" w:hAnsi="宋体" w:hint="eastAsia"/>
          <w:sz w:val="21"/>
          <w:szCs w:val="21"/>
        </w:rPr>
        <w:t>5</w:t>
      </w:r>
    </w:p>
    <w:p w:rsidR="00DB0F76" w:rsidRPr="00DB0F76" w:rsidRDefault="00DB0F76" w:rsidP="00DB0F76">
      <w:pPr>
        <w:snapToGrid w:val="0"/>
        <w:spacing w:line="360" w:lineRule="auto"/>
        <w:jc w:val="center"/>
        <w:rPr>
          <w:rFonts w:ascii="Times New Roman" w:eastAsia="宋体" w:hAnsi="Times New Roman" w:cs="Times New Roman"/>
          <w:b/>
          <w:sz w:val="24"/>
          <w:szCs w:val="24"/>
        </w:rPr>
      </w:pPr>
      <w:r w:rsidRPr="00DB0F76">
        <w:rPr>
          <w:rFonts w:ascii="Times New Roman" w:eastAsia="宋体" w:hAnsi="Times New Roman" w:cs="Times New Roman"/>
          <w:b/>
          <w:sz w:val="24"/>
          <w:szCs w:val="24"/>
        </w:rPr>
        <w:t xml:space="preserve">Study on the </w:t>
      </w:r>
      <w:r>
        <w:rPr>
          <w:rFonts w:ascii="Times New Roman" w:eastAsia="宋体" w:hAnsi="Times New Roman" w:cs="Times New Roman"/>
          <w:b/>
          <w:sz w:val="24"/>
          <w:szCs w:val="24"/>
        </w:rPr>
        <w:t>I</w:t>
      </w:r>
      <w:r w:rsidRPr="00DB0F76">
        <w:rPr>
          <w:rFonts w:ascii="Times New Roman" w:eastAsia="宋体" w:hAnsi="Times New Roman" w:cs="Times New Roman"/>
          <w:b/>
          <w:sz w:val="24"/>
          <w:szCs w:val="24"/>
        </w:rPr>
        <w:t>ssues</w:t>
      </w:r>
      <w:r>
        <w:rPr>
          <w:rFonts w:ascii="Times New Roman" w:eastAsia="宋体" w:hAnsi="Times New Roman" w:cs="Times New Roman"/>
          <w:b/>
          <w:sz w:val="24"/>
          <w:szCs w:val="24"/>
        </w:rPr>
        <w:t xml:space="preserve"> </w:t>
      </w:r>
      <w:r w:rsidRPr="00DB0F76">
        <w:rPr>
          <w:rFonts w:ascii="Times New Roman" w:eastAsia="宋体" w:hAnsi="Times New Roman" w:cs="Times New Roman"/>
          <w:b/>
          <w:sz w:val="24"/>
          <w:szCs w:val="24"/>
        </w:rPr>
        <w:t xml:space="preserve">Related to the </w:t>
      </w:r>
      <w:r>
        <w:rPr>
          <w:rFonts w:ascii="Times New Roman" w:eastAsia="宋体" w:hAnsi="Times New Roman" w:cs="Times New Roman"/>
          <w:b/>
          <w:sz w:val="24"/>
          <w:szCs w:val="24"/>
        </w:rPr>
        <w:t>R</w:t>
      </w:r>
      <w:r w:rsidRPr="00DB0F76">
        <w:rPr>
          <w:rFonts w:ascii="Times New Roman" w:eastAsia="宋体" w:hAnsi="Times New Roman" w:cs="Times New Roman"/>
          <w:b/>
          <w:sz w:val="24"/>
          <w:szCs w:val="24"/>
        </w:rPr>
        <w:t xml:space="preserve">euse of the </w:t>
      </w:r>
      <w:r>
        <w:rPr>
          <w:rFonts w:ascii="Times New Roman" w:eastAsia="宋体" w:hAnsi="Times New Roman" w:cs="Times New Roman"/>
          <w:b/>
          <w:sz w:val="24"/>
          <w:szCs w:val="24"/>
        </w:rPr>
        <w:t>R</w:t>
      </w:r>
      <w:r w:rsidRPr="00DB0F76">
        <w:rPr>
          <w:rFonts w:ascii="Times New Roman" w:eastAsia="宋体" w:hAnsi="Times New Roman" w:cs="Times New Roman"/>
          <w:b/>
          <w:sz w:val="24"/>
          <w:szCs w:val="24"/>
        </w:rPr>
        <w:t xml:space="preserve">etreat </w:t>
      </w:r>
      <w:r>
        <w:rPr>
          <w:rFonts w:ascii="Times New Roman" w:eastAsia="宋体" w:hAnsi="Times New Roman" w:cs="Times New Roman"/>
          <w:b/>
          <w:sz w:val="24"/>
          <w:szCs w:val="24"/>
        </w:rPr>
        <w:t>S</w:t>
      </w:r>
      <w:r w:rsidRPr="00DB0F76">
        <w:rPr>
          <w:rFonts w:ascii="Times New Roman" w:eastAsia="宋体" w:hAnsi="Times New Roman" w:cs="Times New Roman"/>
          <w:b/>
          <w:sz w:val="24"/>
          <w:szCs w:val="24"/>
        </w:rPr>
        <w:t xml:space="preserve">pace in </w:t>
      </w:r>
      <w:r w:rsidR="006B0D55" w:rsidRPr="00DB0F76">
        <w:rPr>
          <w:rFonts w:ascii="Times New Roman" w:eastAsia="宋体" w:hAnsi="Times New Roman" w:cs="Times New Roman"/>
          <w:b/>
          <w:sz w:val="24"/>
          <w:szCs w:val="24"/>
        </w:rPr>
        <w:t xml:space="preserve">Beijing </w:t>
      </w:r>
      <w:proofErr w:type="spellStart"/>
      <w:r w:rsidRPr="00DB0F76">
        <w:rPr>
          <w:rFonts w:ascii="Times New Roman" w:eastAsia="宋体" w:hAnsi="Times New Roman" w:cs="Times New Roman"/>
          <w:b/>
          <w:sz w:val="24"/>
          <w:szCs w:val="24"/>
        </w:rPr>
        <w:t>Shunyi</w:t>
      </w:r>
      <w:proofErr w:type="spellEnd"/>
      <w:r w:rsidRPr="00DB0F76">
        <w:rPr>
          <w:rFonts w:ascii="Times New Roman" w:eastAsia="宋体" w:hAnsi="Times New Roman" w:cs="Times New Roman"/>
          <w:b/>
          <w:sz w:val="24"/>
          <w:szCs w:val="24"/>
        </w:rPr>
        <w:t xml:space="preserve"> District </w:t>
      </w:r>
    </w:p>
    <w:p w:rsidR="00DB0F76" w:rsidRPr="00DB0F76" w:rsidRDefault="00DB0F76" w:rsidP="00DB0F76">
      <w:pPr>
        <w:snapToGrid w:val="0"/>
        <w:spacing w:line="360" w:lineRule="auto"/>
        <w:jc w:val="center"/>
        <w:rPr>
          <w:rFonts w:ascii="Times New Roman" w:eastAsia="宋体" w:hAnsi="Times New Roman" w:cs="Times New Roman"/>
          <w:szCs w:val="21"/>
        </w:rPr>
      </w:pPr>
      <w:r w:rsidRPr="00DB0F76">
        <w:rPr>
          <w:rFonts w:ascii="Times New Roman" w:eastAsia="宋体" w:hAnsi="Times New Roman" w:cs="Times New Roman"/>
          <w:szCs w:val="21"/>
        </w:rPr>
        <w:t>Z</w:t>
      </w:r>
      <w:r w:rsidRPr="00DB0F76">
        <w:rPr>
          <w:rFonts w:ascii="Times New Roman" w:eastAsia="宋体" w:hAnsi="Times New Roman" w:cs="Times New Roman" w:hint="eastAsia"/>
          <w:szCs w:val="21"/>
        </w:rPr>
        <w:t>HANG</w:t>
      </w:r>
      <w:r w:rsidRPr="00DB0F76">
        <w:rPr>
          <w:rFonts w:ascii="Times New Roman" w:eastAsia="宋体" w:hAnsi="Times New Roman" w:cs="Times New Roman"/>
          <w:szCs w:val="21"/>
        </w:rPr>
        <w:t xml:space="preserve"> </w:t>
      </w:r>
      <w:proofErr w:type="spellStart"/>
      <w:r w:rsidRPr="00DB0F76">
        <w:rPr>
          <w:rFonts w:ascii="Times New Roman" w:eastAsia="宋体" w:hAnsi="Times New Roman" w:cs="Times New Roman"/>
          <w:szCs w:val="21"/>
        </w:rPr>
        <w:t>Meng</w:t>
      </w:r>
      <w:proofErr w:type="spellEnd"/>
      <w:r w:rsidRPr="00DB0F76">
        <w:rPr>
          <w:rFonts w:ascii="Times New Roman" w:eastAsia="宋体" w:hAnsi="Times New Roman" w:cs="Times New Roman"/>
          <w:szCs w:val="21"/>
        </w:rPr>
        <w:t>, R</w:t>
      </w:r>
      <w:r w:rsidRPr="00DB0F76">
        <w:rPr>
          <w:rFonts w:ascii="Times New Roman" w:eastAsia="宋体" w:hAnsi="Times New Roman" w:cs="Times New Roman" w:hint="eastAsia"/>
          <w:szCs w:val="21"/>
        </w:rPr>
        <w:t>EN</w:t>
      </w:r>
      <w:r w:rsidRPr="00DB0F76">
        <w:rPr>
          <w:rFonts w:ascii="Times New Roman" w:eastAsia="宋体" w:hAnsi="Times New Roman" w:cs="Times New Roman"/>
          <w:szCs w:val="21"/>
        </w:rPr>
        <w:t xml:space="preserve"> </w:t>
      </w:r>
      <w:proofErr w:type="spellStart"/>
      <w:r w:rsidRPr="00DB0F76">
        <w:rPr>
          <w:rFonts w:ascii="Times New Roman" w:eastAsia="宋体" w:hAnsi="Times New Roman" w:cs="Times New Roman"/>
          <w:szCs w:val="21"/>
        </w:rPr>
        <w:t>Xiyang</w:t>
      </w:r>
      <w:proofErr w:type="spellEnd"/>
    </w:p>
    <w:p w:rsidR="00DB0F76" w:rsidRPr="00DB0F76" w:rsidRDefault="00DB0F76" w:rsidP="00DB0F76">
      <w:pPr>
        <w:snapToGrid w:val="0"/>
        <w:spacing w:line="360" w:lineRule="auto"/>
        <w:jc w:val="center"/>
        <w:rPr>
          <w:rFonts w:ascii="Times New Roman" w:eastAsia="宋体" w:hAnsi="Times New Roman" w:cs="Times New Roman"/>
          <w:szCs w:val="21"/>
        </w:rPr>
      </w:pPr>
      <w:r w:rsidRPr="00DB0F76">
        <w:rPr>
          <w:rFonts w:ascii="Times New Roman" w:eastAsia="宋体" w:hAnsi="Times New Roman" w:cs="Times New Roman" w:hint="eastAsia"/>
          <w:szCs w:val="21"/>
        </w:rPr>
        <w:t>(</w:t>
      </w:r>
      <w:r w:rsidRPr="00DB0F76">
        <w:rPr>
          <w:rFonts w:ascii="Times New Roman" w:eastAsia="宋体" w:hAnsi="Times New Roman" w:cs="Times New Roman"/>
          <w:szCs w:val="21"/>
        </w:rPr>
        <w:t>Chi</w:t>
      </w:r>
      <w:r w:rsidRPr="00DB0F76">
        <w:rPr>
          <w:rFonts w:ascii="Times New Roman" w:eastAsia="宋体" w:hAnsi="Times New Roman" w:cs="Times New Roman" w:hint="eastAsia"/>
          <w:szCs w:val="21"/>
        </w:rPr>
        <w:t xml:space="preserve">nese Academy of </w:t>
      </w:r>
      <w:r w:rsidRPr="00DB0F76">
        <w:rPr>
          <w:rFonts w:ascii="Times New Roman" w:eastAsia="宋体" w:hAnsi="Times New Roman" w:cs="Times New Roman"/>
          <w:szCs w:val="21"/>
        </w:rPr>
        <w:t>Natural Resources</w:t>
      </w:r>
      <w:r w:rsidRPr="00DB0F76">
        <w:rPr>
          <w:rFonts w:ascii="Times New Roman" w:eastAsia="宋体" w:hAnsi="Times New Roman" w:cs="Times New Roman" w:hint="eastAsia"/>
          <w:szCs w:val="21"/>
        </w:rPr>
        <w:t xml:space="preserve"> Economics</w:t>
      </w:r>
      <w:r w:rsidRPr="00DB0F76">
        <w:rPr>
          <w:rFonts w:ascii="Times New Roman" w:eastAsia="宋体" w:hAnsi="Times New Roman" w:cs="Times New Roman"/>
          <w:szCs w:val="21"/>
        </w:rPr>
        <w:t>, Beijing 101149</w:t>
      </w:r>
      <w:r w:rsidRPr="00DB0F76">
        <w:rPr>
          <w:rFonts w:ascii="Times New Roman" w:eastAsia="宋体" w:hAnsi="Times New Roman" w:cs="Times New Roman" w:hint="eastAsia"/>
          <w:szCs w:val="21"/>
        </w:rPr>
        <w:t>)</w:t>
      </w:r>
    </w:p>
    <w:p w:rsidR="00DB0F76" w:rsidRPr="00DB0F76" w:rsidRDefault="00DB0F76" w:rsidP="00DB0F76">
      <w:pPr>
        <w:snapToGrid w:val="0"/>
        <w:spacing w:line="360" w:lineRule="auto"/>
        <w:rPr>
          <w:rFonts w:ascii="Times New Roman" w:eastAsia="宋体" w:hAnsi="Times New Roman" w:cs="Times New Roman"/>
          <w:szCs w:val="21"/>
        </w:rPr>
      </w:pPr>
      <w:r w:rsidRPr="00DB0F76">
        <w:rPr>
          <w:rFonts w:ascii="Times New Roman" w:eastAsia="宋体" w:hAnsi="Times New Roman" w:cs="Times New Roman"/>
          <w:b/>
          <w:szCs w:val="21"/>
        </w:rPr>
        <w:t>Abstract:</w:t>
      </w:r>
      <w:r w:rsidRPr="00DB0F76">
        <w:rPr>
          <w:rFonts w:ascii="Times New Roman" w:eastAsia="宋体" w:hAnsi="Times New Roman" w:cs="Times New Roman"/>
          <w:szCs w:val="21"/>
        </w:rPr>
        <w:t xml:space="preserve"> The reuse of vacated space can effectively utilize land resources, realize the transformation and upgrading of enterprises, and improve the quality of cities. It is an important driving force for economic development. In view of the wide distribution of the space to be used after the retreat of the land in </w:t>
      </w:r>
      <w:proofErr w:type="spellStart"/>
      <w:r w:rsidRPr="00DB0F76">
        <w:rPr>
          <w:rFonts w:ascii="Times New Roman" w:eastAsia="宋体" w:hAnsi="Times New Roman" w:cs="Times New Roman"/>
          <w:szCs w:val="21"/>
        </w:rPr>
        <w:t>Shunyi</w:t>
      </w:r>
      <w:proofErr w:type="spellEnd"/>
      <w:r w:rsidRPr="00DB0F76">
        <w:rPr>
          <w:rFonts w:ascii="Times New Roman" w:eastAsia="宋体" w:hAnsi="Times New Roman" w:cs="Times New Roman"/>
          <w:szCs w:val="21"/>
        </w:rPr>
        <w:t xml:space="preserve"> District of Beijing, the responsibility of the subject, the complex relationship of property rights, etc., from the perspective of construction land reduction development, functional zoning, industrial positioning, development mode, etc. Reuse policy measures to achieve efficient and efficient use of land.</w:t>
      </w:r>
    </w:p>
    <w:p w:rsidR="00DB0F76" w:rsidRPr="00DB0F76" w:rsidRDefault="00DB0F76" w:rsidP="00DB0F76">
      <w:pPr>
        <w:snapToGrid w:val="0"/>
        <w:spacing w:line="360" w:lineRule="auto"/>
        <w:rPr>
          <w:rFonts w:ascii="Times New Roman" w:eastAsia="宋体" w:hAnsi="Times New Roman" w:cs="Times New Roman"/>
          <w:szCs w:val="21"/>
        </w:rPr>
      </w:pPr>
      <w:r w:rsidRPr="00DB0F76">
        <w:rPr>
          <w:rFonts w:ascii="Times New Roman" w:eastAsia="宋体" w:hAnsi="Times New Roman" w:cs="Times New Roman"/>
          <w:b/>
          <w:szCs w:val="21"/>
        </w:rPr>
        <w:t>Key words:</w:t>
      </w:r>
      <w:r w:rsidRPr="00DB0F76">
        <w:rPr>
          <w:rFonts w:ascii="Times New Roman" w:eastAsia="宋体" w:hAnsi="Times New Roman" w:cs="Times New Roman"/>
          <w:szCs w:val="21"/>
        </w:rPr>
        <w:t xml:space="preserve"> vacating space; reuse; rational use; </w:t>
      </w:r>
      <w:proofErr w:type="spellStart"/>
      <w:r w:rsidRPr="00DB0F76">
        <w:rPr>
          <w:rFonts w:ascii="Times New Roman" w:eastAsia="宋体" w:hAnsi="Times New Roman" w:cs="Times New Roman"/>
          <w:szCs w:val="21"/>
        </w:rPr>
        <w:t>Shunyi</w:t>
      </w:r>
      <w:proofErr w:type="spellEnd"/>
      <w:r w:rsidRPr="00DB0F76">
        <w:rPr>
          <w:rFonts w:ascii="Times New Roman" w:eastAsia="宋体" w:hAnsi="Times New Roman" w:cs="Times New Roman"/>
          <w:szCs w:val="21"/>
        </w:rPr>
        <w:t xml:space="preserve"> District</w:t>
      </w:r>
    </w:p>
    <w:p w:rsidR="00973FBB" w:rsidRPr="00E821D7" w:rsidRDefault="008721DD" w:rsidP="00433344">
      <w:pPr>
        <w:pStyle w:val="ac"/>
        <w:spacing w:beforeAutospacing="0" w:afterAutospacing="0" w:line="560" w:lineRule="exact"/>
        <w:jc w:val="both"/>
        <w:outlineLvl w:val="0"/>
        <w:rPr>
          <w:rFonts w:ascii="宋体" w:eastAsia="宋体" w:hAnsi="宋体" w:cs="宋体"/>
          <w:b/>
          <w:kern w:val="2"/>
          <w:sz w:val="28"/>
          <w:szCs w:val="28"/>
        </w:rPr>
      </w:pPr>
      <w:r w:rsidRPr="00E821D7">
        <w:rPr>
          <w:rFonts w:ascii="宋体" w:eastAsia="宋体" w:hAnsi="宋体" w:cs="宋体" w:hint="eastAsia"/>
          <w:b/>
          <w:kern w:val="2"/>
          <w:sz w:val="28"/>
          <w:szCs w:val="28"/>
        </w:rPr>
        <w:t>0引言</w:t>
      </w:r>
    </w:p>
    <w:p w:rsidR="00973FBB" w:rsidRDefault="007D4DA9">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北京市</w:t>
      </w:r>
      <w:r w:rsidR="008721DD">
        <w:rPr>
          <w:rFonts w:ascii="宋体" w:eastAsia="宋体" w:hAnsi="宋体" w:cs="宋体" w:hint="eastAsia"/>
          <w:kern w:val="2"/>
          <w:sz w:val="21"/>
          <w:szCs w:val="21"/>
        </w:rPr>
        <w:t>腾退空间主要涉及四大领域：一般性制造业特别是高消耗产业，区域性物流基地</w:t>
      </w:r>
      <w:r>
        <w:rPr>
          <w:rFonts w:ascii="宋体" w:eastAsia="宋体" w:hAnsi="宋体" w:cs="宋体" w:hint="eastAsia"/>
          <w:kern w:val="2"/>
          <w:sz w:val="21"/>
          <w:szCs w:val="21"/>
        </w:rPr>
        <w:t>，</w:t>
      </w:r>
      <w:r w:rsidR="008721DD">
        <w:rPr>
          <w:rFonts w:ascii="宋体" w:eastAsia="宋体" w:hAnsi="宋体" w:cs="宋体" w:hint="eastAsia"/>
          <w:kern w:val="2"/>
          <w:sz w:val="21"/>
          <w:szCs w:val="21"/>
        </w:rPr>
        <w:t>区域性专业市场等部分第三产业，部分教育、医疗、培训机构等社会公共服务机构。</w:t>
      </w:r>
    </w:p>
    <w:p w:rsidR="00973FBB" w:rsidRDefault="008721DD">
      <w:pPr>
        <w:pStyle w:val="ac"/>
        <w:wordWrap w:val="0"/>
        <w:spacing w:beforeAutospacing="0" w:afterAutospacing="0" w:line="360" w:lineRule="auto"/>
        <w:ind w:firstLineChars="200" w:firstLine="420"/>
        <w:jc w:val="both"/>
        <w:rPr>
          <w:rFonts w:ascii="仿宋_GB2312" w:eastAsia="仿宋_GB2312" w:hAnsi="仿宋_GB2312" w:cs="仿宋_GB2312"/>
          <w:kern w:val="2"/>
          <w:sz w:val="32"/>
          <w:szCs w:val="32"/>
        </w:rPr>
      </w:pPr>
      <w:r>
        <w:rPr>
          <w:rFonts w:ascii="宋体" w:eastAsia="宋体" w:hAnsi="宋体" w:cs="宋体" w:hint="eastAsia"/>
          <w:kern w:val="2"/>
          <w:sz w:val="21"/>
          <w:szCs w:val="21"/>
        </w:rPr>
        <w:t>当前，北京</w:t>
      </w:r>
      <w:r w:rsidR="007D4DA9">
        <w:rPr>
          <w:rFonts w:ascii="宋体" w:eastAsia="宋体" w:hAnsi="宋体" w:cs="宋体" w:hint="eastAsia"/>
          <w:kern w:val="2"/>
          <w:sz w:val="21"/>
          <w:szCs w:val="21"/>
        </w:rPr>
        <w:t>市</w:t>
      </w:r>
      <w:r>
        <w:rPr>
          <w:rFonts w:ascii="宋体" w:eastAsia="宋体" w:hAnsi="宋体" w:cs="宋体" w:hint="eastAsia"/>
          <w:kern w:val="2"/>
          <w:sz w:val="21"/>
          <w:szCs w:val="21"/>
        </w:rPr>
        <w:t>正处于从聚集资源求增长转向疏解功能谋发展，从追求大而全转向聚焦高精尖，从向扩张要增长转向</w:t>
      </w:r>
      <w:proofErr w:type="gramStart"/>
      <w:r>
        <w:rPr>
          <w:rFonts w:ascii="宋体" w:eastAsia="宋体" w:hAnsi="宋体" w:cs="宋体" w:hint="eastAsia"/>
          <w:kern w:val="2"/>
          <w:sz w:val="21"/>
          <w:szCs w:val="21"/>
        </w:rPr>
        <w:t>向</w:t>
      </w:r>
      <w:proofErr w:type="gramEnd"/>
      <w:r>
        <w:rPr>
          <w:rFonts w:ascii="宋体" w:eastAsia="宋体" w:hAnsi="宋体" w:cs="宋体" w:hint="eastAsia"/>
          <w:kern w:val="2"/>
          <w:sz w:val="21"/>
          <w:szCs w:val="21"/>
        </w:rPr>
        <w:t>减量要质量的深刻转型阶段。坚定不移地抓住</w:t>
      </w:r>
      <w:proofErr w:type="gramStart"/>
      <w:r>
        <w:rPr>
          <w:rFonts w:ascii="宋体" w:eastAsia="宋体" w:hAnsi="宋体" w:cs="宋体" w:hint="eastAsia"/>
          <w:kern w:val="2"/>
          <w:sz w:val="21"/>
          <w:szCs w:val="21"/>
        </w:rPr>
        <w:t>疏解非首都</w:t>
      </w:r>
      <w:proofErr w:type="gramEnd"/>
      <w:r>
        <w:rPr>
          <w:rFonts w:ascii="宋体" w:eastAsia="宋体" w:hAnsi="宋体" w:cs="宋体" w:hint="eastAsia"/>
          <w:kern w:val="2"/>
          <w:sz w:val="21"/>
          <w:szCs w:val="21"/>
        </w:rPr>
        <w:t>功能</w:t>
      </w:r>
      <w:r>
        <w:rPr>
          <w:rFonts w:ascii="宋体" w:eastAsia="宋体" w:hAnsi="宋体" w:cs="宋体" w:hint="eastAsia"/>
          <w:kern w:val="2"/>
          <w:sz w:val="21"/>
          <w:szCs w:val="21"/>
        </w:rPr>
        <w:lastRenderedPageBreak/>
        <w:t>这个牛鼻子，推进首都减量发展、城市瘦身健体、发展提质增效，不仅是贯彻落实京津冀协同发展战略，发挥北京“一核”作用，建设世界级城市群的必然要求，也是贯彻落实首都城市战略定位，聚焦优化提升，破解首都发展长期积累的深层次矛盾和问题的必然选择。</w:t>
      </w:r>
    </w:p>
    <w:p w:rsidR="00973FBB" w:rsidRPr="00E821D7" w:rsidRDefault="00433344" w:rsidP="00433344">
      <w:pPr>
        <w:pStyle w:val="ac"/>
        <w:spacing w:beforeAutospacing="0" w:afterAutospacing="0" w:line="360" w:lineRule="auto"/>
        <w:jc w:val="both"/>
        <w:outlineLvl w:val="0"/>
        <w:rPr>
          <w:rFonts w:ascii="宋体" w:eastAsia="宋体" w:hAnsi="宋体" w:cs="宋体"/>
          <w:b/>
          <w:kern w:val="2"/>
          <w:sz w:val="28"/>
          <w:szCs w:val="28"/>
        </w:rPr>
      </w:pPr>
      <w:bookmarkStart w:id="0" w:name="_Toc14164"/>
      <w:bookmarkStart w:id="1" w:name="_Toc4937"/>
      <w:r>
        <w:rPr>
          <w:rFonts w:ascii="宋体" w:eastAsia="宋体" w:hAnsi="宋体" w:cs="宋体" w:hint="eastAsia"/>
          <w:b/>
          <w:kern w:val="2"/>
          <w:sz w:val="28"/>
          <w:szCs w:val="28"/>
        </w:rPr>
        <w:t>1</w:t>
      </w:r>
      <w:r w:rsidR="00A91B55">
        <w:rPr>
          <w:rFonts w:ascii="宋体" w:eastAsia="宋体" w:hAnsi="宋体" w:cs="宋体" w:hint="eastAsia"/>
          <w:b/>
          <w:kern w:val="2"/>
          <w:sz w:val="28"/>
          <w:szCs w:val="28"/>
        </w:rPr>
        <w:t xml:space="preserve"> </w:t>
      </w:r>
      <w:r w:rsidR="008721DD" w:rsidRPr="00E821D7">
        <w:rPr>
          <w:rFonts w:ascii="宋体" w:eastAsia="宋体" w:hAnsi="宋体" w:cs="宋体" w:hint="eastAsia"/>
          <w:b/>
          <w:kern w:val="2"/>
          <w:sz w:val="28"/>
          <w:szCs w:val="28"/>
        </w:rPr>
        <w:t>顺义区腾退土地利用现状</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2018年以来，随着</w:t>
      </w:r>
      <w:r w:rsidR="00A91B55">
        <w:rPr>
          <w:rFonts w:ascii="宋体" w:eastAsia="宋体" w:hAnsi="宋体" w:cs="宋体" w:hint="eastAsia"/>
          <w:kern w:val="2"/>
          <w:sz w:val="21"/>
          <w:szCs w:val="21"/>
        </w:rPr>
        <w:t>“</w:t>
      </w:r>
      <w:r>
        <w:rPr>
          <w:rFonts w:ascii="宋体" w:eastAsia="宋体" w:hAnsi="宋体" w:cs="宋体" w:hint="eastAsia"/>
          <w:kern w:val="2"/>
          <w:sz w:val="21"/>
          <w:szCs w:val="21"/>
        </w:rPr>
        <w:t>疏整促专项行动</w:t>
      </w:r>
      <w:r w:rsidR="00A91B55">
        <w:rPr>
          <w:rFonts w:ascii="宋体" w:eastAsia="宋体" w:hAnsi="宋体" w:cs="宋体" w:hint="eastAsia"/>
          <w:kern w:val="2"/>
          <w:sz w:val="21"/>
          <w:szCs w:val="21"/>
        </w:rPr>
        <w:t>”</w:t>
      </w:r>
      <w:r>
        <w:rPr>
          <w:rFonts w:ascii="宋体" w:eastAsia="宋体" w:hAnsi="宋体" w:cs="宋体" w:hint="eastAsia"/>
          <w:kern w:val="2"/>
          <w:sz w:val="21"/>
          <w:szCs w:val="21"/>
        </w:rPr>
        <w:t>的持续深入，顺义区疏解腾退土地面积超过1300万平方米，其中近六成处于</w:t>
      </w:r>
      <w:proofErr w:type="gramStart"/>
      <w:r>
        <w:rPr>
          <w:rFonts w:ascii="宋体" w:eastAsia="宋体" w:hAnsi="宋体" w:cs="宋体" w:hint="eastAsia"/>
          <w:kern w:val="2"/>
          <w:sz w:val="21"/>
          <w:szCs w:val="21"/>
        </w:rPr>
        <w:t>待利用</w:t>
      </w:r>
      <w:proofErr w:type="gramEnd"/>
      <w:r>
        <w:rPr>
          <w:rFonts w:ascii="宋体" w:eastAsia="宋体" w:hAnsi="宋体" w:cs="宋体" w:hint="eastAsia"/>
          <w:kern w:val="2"/>
          <w:sz w:val="21"/>
          <w:szCs w:val="21"/>
        </w:rPr>
        <w:t>状态，充分合理利用好这些土地，使之发挥最大的效用，既是巩固</w:t>
      </w:r>
      <w:proofErr w:type="gramStart"/>
      <w:r>
        <w:rPr>
          <w:rFonts w:ascii="宋体" w:eastAsia="宋体" w:hAnsi="宋体" w:cs="宋体" w:hint="eastAsia"/>
          <w:kern w:val="2"/>
          <w:sz w:val="21"/>
          <w:szCs w:val="21"/>
        </w:rPr>
        <w:t>疏解成效</w:t>
      </w:r>
      <w:proofErr w:type="gramEnd"/>
      <w:r>
        <w:rPr>
          <w:rFonts w:ascii="宋体" w:eastAsia="宋体" w:hAnsi="宋体" w:cs="宋体" w:hint="eastAsia"/>
          <w:kern w:val="2"/>
          <w:sz w:val="21"/>
          <w:szCs w:val="21"/>
        </w:rPr>
        <w:t>的重要内容，更是推动顺义区高质量发展的有力支撑。</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1.1腾退情况</w:t>
      </w:r>
      <w:bookmarkEnd w:id="0"/>
      <w:bookmarkEnd w:id="1"/>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截至2018年12</w:t>
      </w:r>
      <w:r w:rsidR="00A91B55">
        <w:rPr>
          <w:rFonts w:ascii="宋体" w:eastAsia="宋体" w:hAnsi="宋体" w:cs="宋体" w:hint="eastAsia"/>
          <w:kern w:val="2"/>
          <w:sz w:val="21"/>
          <w:szCs w:val="21"/>
        </w:rPr>
        <w:t>月底，顺义区“疏解整治促提升</w:t>
      </w:r>
      <w:r>
        <w:rPr>
          <w:rFonts w:ascii="宋体" w:eastAsia="宋体" w:hAnsi="宋体" w:cs="宋体" w:hint="eastAsia"/>
          <w:kern w:val="2"/>
          <w:sz w:val="21"/>
          <w:szCs w:val="21"/>
        </w:rPr>
        <w:t>专项行动</w:t>
      </w:r>
      <w:r w:rsidR="00A91B55">
        <w:rPr>
          <w:rFonts w:ascii="宋体" w:eastAsia="宋体" w:hAnsi="宋体" w:cs="宋体" w:hint="eastAsia"/>
          <w:kern w:val="2"/>
          <w:sz w:val="21"/>
          <w:szCs w:val="21"/>
        </w:rPr>
        <w:t>”</w:t>
      </w:r>
      <w:r>
        <w:rPr>
          <w:rFonts w:ascii="宋体" w:eastAsia="宋体" w:hAnsi="宋体" w:cs="宋体" w:hint="eastAsia"/>
          <w:kern w:val="2"/>
          <w:sz w:val="21"/>
          <w:szCs w:val="21"/>
        </w:rPr>
        <w:t>涉及19个镇、6个街道及3个功能区，累计疏解腾退土地面积1353.95万平方米（1354公顷）。</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从疏解类型看：疏解一般性制造业和“散乱污”企业治理腾退土地565.43万平方米，规模最大，占总量的41.76%；治理违法建设腾退土地455.31万平方米，占总量的33.63%</w:t>
      </w:r>
      <w:r w:rsidR="00E821D7">
        <w:rPr>
          <w:rFonts w:ascii="宋体" w:eastAsia="宋体" w:hAnsi="宋体" w:cs="宋体" w:hint="eastAsia"/>
          <w:kern w:val="2"/>
          <w:sz w:val="21"/>
          <w:szCs w:val="21"/>
        </w:rPr>
        <w:t>；</w:t>
      </w:r>
      <w:r>
        <w:rPr>
          <w:rFonts w:ascii="宋体" w:eastAsia="宋体" w:hAnsi="宋体" w:cs="宋体" w:hint="eastAsia"/>
          <w:kern w:val="2"/>
          <w:sz w:val="21"/>
          <w:szCs w:val="21"/>
        </w:rPr>
        <w:t xml:space="preserve">棚户区改造腾退土地251.81万平方米，占总量的18.60%。此外，出租大院、城乡结合部整治改造和疏解提升市场三项专项整治活动共腾退土地81.40万平方米，占总量的6.01%（图1）。 </w:t>
      </w:r>
    </w:p>
    <w:p w:rsidR="00973FBB" w:rsidRDefault="008721DD">
      <w:pPr>
        <w:pStyle w:val="ac"/>
        <w:spacing w:beforeAutospacing="0" w:afterAutospacing="0"/>
        <w:jc w:val="center"/>
      </w:pPr>
      <w:r>
        <w:rPr>
          <w:noProof/>
        </w:rPr>
        <w:drawing>
          <wp:inline distT="0" distB="0" distL="114300" distR="114300">
            <wp:extent cx="4839970" cy="2000250"/>
            <wp:effectExtent l="0" t="0" r="17780" b="0"/>
            <wp:docPr id="3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3FBB" w:rsidRDefault="008721DD" w:rsidP="00E821D7">
      <w:pPr>
        <w:jc w:val="center"/>
      </w:pPr>
      <w:r>
        <w:rPr>
          <w:rFonts w:ascii="宋体" w:eastAsia="宋体" w:hAnsi="宋体" w:cs="宋体" w:hint="eastAsia"/>
          <w:b/>
          <w:bCs/>
        </w:rPr>
        <w:t>图1 顺义区按疏解整治类型划分腾退面积</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从腾退土地利用类型看：工矿仓储用地面积最多，共计498.98万平方米;其次是耕地面积311.70万平方米，商服用地219.66万平方米（图2）。</w:t>
      </w:r>
    </w:p>
    <w:p w:rsidR="00973FBB" w:rsidRDefault="008721DD">
      <w:pPr>
        <w:jc w:val="center"/>
      </w:pPr>
      <w:r>
        <w:rPr>
          <w:noProof/>
        </w:rPr>
        <w:lastRenderedPageBreak/>
        <w:drawing>
          <wp:inline distT="0" distB="0" distL="114300" distR="114300">
            <wp:extent cx="5615940" cy="2970530"/>
            <wp:effectExtent l="0" t="0" r="3810" b="12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FBB" w:rsidRDefault="008721DD">
      <w:pPr>
        <w:jc w:val="center"/>
      </w:pPr>
      <w:r>
        <w:rPr>
          <w:rFonts w:ascii="宋体" w:eastAsia="宋体" w:hAnsi="宋体" w:cs="宋体" w:hint="eastAsia"/>
          <w:b/>
          <w:bCs/>
        </w:rPr>
        <w:t>图2 顺义区按土地类型划分腾退面积</w:t>
      </w:r>
    </w:p>
    <w:p w:rsidR="00973FBB" w:rsidRPr="00A91B55" w:rsidRDefault="008721DD" w:rsidP="00A91B55">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从腾退土地区域看：</w:t>
      </w:r>
      <w:bookmarkStart w:id="2" w:name="OLE_LINK7"/>
      <w:bookmarkStart w:id="3" w:name="OLE_LINK6"/>
      <w:r>
        <w:rPr>
          <w:rFonts w:ascii="宋体" w:eastAsia="宋体" w:hAnsi="宋体" w:cs="宋体" w:hint="eastAsia"/>
          <w:kern w:val="2"/>
          <w:sz w:val="21"/>
          <w:szCs w:val="21"/>
        </w:rPr>
        <w:t>河东9个镇</w:t>
      </w:r>
      <w:bookmarkEnd w:id="2"/>
      <w:bookmarkEnd w:id="3"/>
      <w:r>
        <w:rPr>
          <w:rFonts w:ascii="宋体" w:eastAsia="宋体" w:hAnsi="宋体" w:cs="宋体" w:hint="eastAsia"/>
          <w:kern w:val="2"/>
          <w:sz w:val="21"/>
          <w:szCs w:val="21"/>
        </w:rPr>
        <w:t>、街及功能区共计腾退490.52万平方米，占总面积的36.23%。河西16个镇、街及功能区共腾退863.43万平方米，占总面积的63.77%。</w:t>
      </w:r>
    </w:p>
    <w:p w:rsidR="00973FBB" w:rsidRDefault="008721DD" w:rsidP="00A91B55">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从镇、街、功能区看：中心镇仁和镇腾退面积最多，合计144.30万平方米，占总量的10.67%；河东重点镇杨镇腾退土地142.19万平方米，居第二位；</w:t>
      </w:r>
      <w:proofErr w:type="gramStart"/>
      <w:r>
        <w:rPr>
          <w:rFonts w:ascii="宋体" w:eastAsia="宋体" w:hAnsi="宋体" w:cs="宋体" w:hint="eastAsia"/>
          <w:kern w:val="2"/>
          <w:sz w:val="21"/>
          <w:szCs w:val="21"/>
        </w:rPr>
        <w:t>旺泉街道</w:t>
      </w:r>
      <w:proofErr w:type="gramEnd"/>
      <w:r>
        <w:rPr>
          <w:rFonts w:ascii="宋体" w:eastAsia="宋体" w:hAnsi="宋体" w:cs="宋体" w:hint="eastAsia"/>
          <w:kern w:val="2"/>
          <w:sz w:val="21"/>
          <w:szCs w:val="21"/>
        </w:rPr>
        <w:t>最少，为206.57平方米（图</w:t>
      </w:r>
      <w:r w:rsidR="00A91B55">
        <w:rPr>
          <w:rFonts w:ascii="宋体" w:eastAsia="宋体" w:hAnsi="宋体" w:cs="宋体" w:hint="eastAsia"/>
          <w:kern w:val="2"/>
          <w:sz w:val="21"/>
          <w:szCs w:val="21"/>
        </w:rPr>
        <w:t>3</w:t>
      </w:r>
      <w:r>
        <w:rPr>
          <w:rFonts w:ascii="宋体" w:eastAsia="宋体" w:hAnsi="宋体" w:cs="宋体" w:hint="eastAsia"/>
          <w:kern w:val="2"/>
          <w:sz w:val="21"/>
          <w:szCs w:val="21"/>
        </w:rPr>
        <w:t>）。</w:t>
      </w:r>
    </w:p>
    <w:p w:rsidR="00973FBB" w:rsidRDefault="008721DD">
      <w:r>
        <w:rPr>
          <w:noProof/>
        </w:rPr>
        <w:drawing>
          <wp:inline distT="0" distB="0" distL="114300" distR="114300">
            <wp:extent cx="5670550" cy="2877820"/>
            <wp:effectExtent l="0" t="0" r="6350" b="17780"/>
            <wp:docPr id="4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3FBB" w:rsidRDefault="008721DD" w:rsidP="00E821D7">
      <w:pPr>
        <w:jc w:val="center"/>
      </w:pPr>
      <w:r>
        <w:rPr>
          <w:rFonts w:ascii="宋体" w:eastAsia="宋体" w:hAnsi="宋体" w:cs="宋体" w:hint="eastAsia"/>
          <w:b/>
          <w:bCs/>
        </w:rPr>
        <w:t>图</w:t>
      </w:r>
      <w:r w:rsidR="00A91B55">
        <w:rPr>
          <w:rFonts w:ascii="宋体" w:eastAsia="宋体" w:hAnsi="宋体" w:cs="宋体" w:hint="eastAsia"/>
          <w:b/>
          <w:bCs/>
        </w:rPr>
        <w:t>3</w:t>
      </w:r>
      <w:r>
        <w:rPr>
          <w:rFonts w:ascii="宋体" w:eastAsia="宋体" w:hAnsi="宋体" w:cs="宋体" w:hint="eastAsia"/>
          <w:b/>
          <w:bCs/>
        </w:rPr>
        <w:t xml:space="preserve"> 顺义区各镇、街、功能区腾退空间现状</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从腾退规模看：大于10万平方米的地块共18处，合计495.57万平方米；5万</w:t>
      </w:r>
      <w:r w:rsidR="00A91B55">
        <w:rPr>
          <w:rFonts w:ascii="Malgun Gothic Semilight" w:eastAsia="Malgun Gothic Semilight" w:hAnsi="Malgun Gothic Semilight" w:cs="Malgun Gothic Semilight" w:hint="eastAsia"/>
          <w:kern w:val="2"/>
          <w:sz w:val="21"/>
          <w:szCs w:val="21"/>
        </w:rPr>
        <w:t>~</w:t>
      </w:r>
      <w:r>
        <w:rPr>
          <w:rFonts w:ascii="宋体" w:eastAsia="宋体" w:hAnsi="宋体" w:cs="宋体" w:hint="eastAsia"/>
          <w:kern w:val="2"/>
          <w:sz w:val="21"/>
          <w:szCs w:val="21"/>
        </w:rPr>
        <w:t>10万平方米的地块共34宗，合计237.06万平方米</w:t>
      </w:r>
      <w:r w:rsidR="00E0070A">
        <w:rPr>
          <w:rFonts w:ascii="宋体" w:eastAsia="宋体" w:hAnsi="宋体" w:cs="宋体" w:hint="eastAsia"/>
          <w:kern w:val="2"/>
          <w:sz w:val="21"/>
          <w:szCs w:val="21"/>
        </w:rPr>
        <w:t>；</w:t>
      </w:r>
      <w:r>
        <w:rPr>
          <w:rFonts w:ascii="宋体" w:eastAsia="宋体" w:hAnsi="宋体" w:cs="宋体" w:hint="eastAsia"/>
          <w:kern w:val="2"/>
          <w:sz w:val="21"/>
          <w:szCs w:val="21"/>
        </w:rPr>
        <w:t>100</w:t>
      </w:r>
      <w:r w:rsidR="00A91B55">
        <w:rPr>
          <w:rFonts w:ascii="Malgun Gothic Semilight" w:eastAsia="Malgun Gothic Semilight" w:hAnsi="Malgun Gothic Semilight" w:cs="Malgun Gothic Semilight" w:hint="eastAsia"/>
          <w:kern w:val="2"/>
          <w:sz w:val="21"/>
          <w:szCs w:val="21"/>
        </w:rPr>
        <w:t>~</w:t>
      </w:r>
      <w:r>
        <w:rPr>
          <w:rFonts w:ascii="宋体" w:eastAsia="宋体" w:hAnsi="宋体" w:cs="宋体" w:hint="eastAsia"/>
          <w:kern w:val="2"/>
          <w:sz w:val="21"/>
          <w:szCs w:val="21"/>
        </w:rPr>
        <w:t>500平方米的地块最多，共232宗，合计292.79万平方米;小于100平方米的地块116宗（表1）。</w:t>
      </w:r>
    </w:p>
    <w:p w:rsidR="00973FBB" w:rsidRPr="00E821D7" w:rsidRDefault="008721DD">
      <w:pPr>
        <w:spacing w:line="560" w:lineRule="exact"/>
        <w:jc w:val="center"/>
        <w:rPr>
          <w:rFonts w:ascii="宋体" w:eastAsia="宋体" w:hAnsi="宋体" w:cs="宋体"/>
          <w:b/>
          <w:bCs/>
          <w:szCs w:val="21"/>
        </w:rPr>
      </w:pPr>
      <w:r w:rsidRPr="00E821D7">
        <w:rPr>
          <w:rFonts w:ascii="宋体" w:eastAsia="宋体" w:hAnsi="宋体" w:cs="宋体" w:hint="eastAsia"/>
          <w:b/>
          <w:bCs/>
          <w:szCs w:val="21"/>
        </w:rPr>
        <w:lastRenderedPageBreak/>
        <w:t>表</w:t>
      </w:r>
      <w:r w:rsidRPr="00E821D7">
        <w:rPr>
          <w:rFonts w:ascii="宋体" w:eastAsia="宋体" w:hAnsi="宋体" w:cs="宋体"/>
          <w:b/>
          <w:bCs/>
          <w:szCs w:val="21"/>
        </w:rPr>
        <w:t xml:space="preserve">1  </w:t>
      </w:r>
      <w:r w:rsidRPr="00E821D7">
        <w:rPr>
          <w:rFonts w:ascii="宋体" w:eastAsia="宋体" w:hAnsi="宋体" w:cs="宋体" w:hint="eastAsia"/>
          <w:b/>
          <w:bCs/>
          <w:szCs w:val="21"/>
        </w:rPr>
        <w:t>按腾退面积规模分布</w:t>
      </w:r>
    </w:p>
    <w:tbl>
      <w:tblPr>
        <w:tblStyle w:val="af"/>
        <w:tblW w:w="8227" w:type="dxa"/>
        <w:jc w:val="center"/>
        <w:tblLayout w:type="fixed"/>
        <w:tblLook w:val="04A0" w:firstRow="1" w:lastRow="0" w:firstColumn="1" w:lastColumn="0" w:noHBand="0" w:noVBand="1"/>
      </w:tblPr>
      <w:tblGrid>
        <w:gridCol w:w="4177"/>
        <w:gridCol w:w="4050"/>
      </w:tblGrid>
      <w:tr w:rsidR="00973FBB">
        <w:trPr>
          <w:trHeight w:val="320"/>
          <w:jc w:val="center"/>
        </w:trPr>
        <w:tc>
          <w:tcPr>
            <w:tcW w:w="4177" w:type="dxa"/>
          </w:tcPr>
          <w:p w:rsidR="00973FBB" w:rsidRDefault="008721DD">
            <w:pPr>
              <w:jc w:val="center"/>
              <w:textAlignment w:val="center"/>
              <w:rPr>
                <w:rFonts w:ascii="Calibri Light" w:eastAsia="宋体" w:hAnsi="Calibri Light" w:cs="Calibri Light"/>
                <w:b/>
                <w:sz w:val="22"/>
              </w:rPr>
            </w:pPr>
            <w:r>
              <w:rPr>
                <w:rFonts w:asciiTheme="minorEastAsia" w:eastAsia="宋体" w:hAnsiTheme="minorEastAsia" w:cs="Calibri Light" w:hint="eastAsia"/>
                <w:b/>
                <w:kern w:val="0"/>
                <w:sz w:val="22"/>
                <w:lang w:bidi="ar"/>
              </w:rPr>
              <w:t>规模（平方米）</w:t>
            </w:r>
          </w:p>
        </w:tc>
        <w:tc>
          <w:tcPr>
            <w:tcW w:w="4050" w:type="dxa"/>
          </w:tcPr>
          <w:p w:rsidR="00973FBB" w:rsidRDefault="008721DD">
            <w:pPr>
              <w:ind w:firstLineChars="100" w:firstLine="221"/>
              <w:jc w:val="center"/>
              <w:textAlignment w:val="center"/>
              <w:rPr>
                <w:rFonts w:ascii="Calibri Light" w:eastAsia="宋体" w:hAnsi="Calibri Light" w:cs="Calibri Light"/>
                <w:b/>
                <w:sz w:val="22"/>
              </w:rPr>
            </w:pPr>
            <w:r>
              <w:rPr>
                <w:rFonts w:asciiTheme="minorEastAsia" w:eastAsia="宋体" w:hAnsiTheme="minorEastAsia" w:cs="Calibri Light" w:hint="eastAsia"/>
                <w:b/>
                <w:sz w:val="22"/>
              </w:rPr>
              <w:t>地块（宗）</w:t>
            </w:r>
          </w:p>
        </w:tc>
      </w:tr>
      <w:tr w:rsidR="00973FBB">
        <w:trPr>
          <w:trHeight w:val="320"/>
          <w:jc w:val="center"/>
        </w:trPr>
        <w:tc>
          <w:tcPr>
            <w:tcW w:w="4177" w:type="dxa"/>
            <w:vAlign w:val="center"/>
          </w:tcPr>
          <w:p w:rsidR="00973FBB" w:rsidRDefault="008721DD">
            <w:pPr>
              <w:jc w:val="center"/>
              <w:textAlignment w:val="center"/>
              <w:rPr>
                <w:rFonts w:ascii="等线" w:eastAsia="等线" w:hAnsi="等线" w:cs="等线"/>
                <w:sz w:val="20"/>
                <w:szCs w:val="20"/>
              </w:rPr>
            </w:pPr>
            <w:r>
              <w:rPr>
                <w:rFonts w:ascii="Arial" w:eastAsia="等线" w:hAnsi="Arial" w:cs="Arial"/>
                <w:sz w:val="20"/>
                <w:szCs w:val="20"/>
              </w:rPr>
              <w:t>&gt;</w:t>
            </w:r>
            <w:r>
              <w:rPr>
                <w:rFonts w:ascii="Arial" w:eastAsia="等线" w:hAnsi="Arial" w:cs="Arial" w:hint="eastAsia"/>
                <w:sz w:val="20"/>
                <w:szCs w:val="20"/>
              </w:rPr>
              <w:t>100000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18</w:t>
            </w:r>
          </w:p>
        </w:tc>
      </w:tr>
      <w:tr w:rsidR="00973FBB">
        <w:trPr>
          <w:trHeight w:val="311"/>
          <w:jc w:val="center"/>
        </w:trPr>
        <w:tc>
          <w:tcPr>
            <w:tcW w:w="4177" w:type="dxa"/>
            <w:vAlign w:val="center"/>
          </w:tcPr>
          <w:p w:rsidR="00973FBB" w:rsidRDefault="008721DD" w:rsidP="00A91B55">
            <w:pPr>
              <w:jc w:val="center"/>
              <w:textAlignment w:val="center"/>
              <w:rPr>
                <w:rFonts w:ascii="等线" w:eastAsia="等线" w:hAnsi="等线" w:cs="等线"/>
                <w:sz w:val="20"/>
                <w:szCs w:val="20"/>
              </w:rPr>
            </w:pPr>
            <w:r>
              <w:rPr>
                <w:rFonts w:ascii="Arial" w:eastAsia="等线" w:hAnsi="Arial" w:cs="Arial" w:hint="eastAsia"/>
                <w:sz w:val="20"/>
                <w:szCs w:val="20"/>
              </w:rPr>
              <w:t>50000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100000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34</w:t>
            </w:r>
          </w:p>
        </w:tc>
      </w:tr>
      <w:tr w:rsidR="00973FBB">
        <w:trPr>
          <w:trHeight w:val="311"/>
          <w:jc w:val="center"/>
        </w:trPr>
        <w:tc>
          <w:tcPr>
            <w:tcW w:w="4177" w:type="dxa"/>
            <w:vAlign w:val="center"/>
          </w:tcPr>
          <w:p w:rsidR="00973FBB" w:rsidRDefault="008721DD" w:rsidP="00A91B55">
            <w:pPr>
              <w:jc w:val="center"/>
              <w:textAlignment w:val="center"/>
              <w:rPr>
                <w:rFonts w:ascii="等线" w:eastAsia="等线" w:hAnsi="等线" w:cs="等线"/>
                <w:sz w:val="20"/>
                <w:szCs w:val="20"/>
              </w:rPr>
            </w:pPr>
            <w:r>
              <w:rPr>
                <w:rFonts w:ascii="Arial" w:eastAsia="等线" w:hAnsi="Arial" w:cs="Arial" w:hint="eastAsia"/>
                <w:sz w:val="20"/>
                <w:szCs w:val="20"/>
              </w:rPr>
              <w:t>10000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50000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190</w:t>
            </w:r>
          </w:p>
        </w:tc>
      </w:tr>
      <w:tr w:rsidR="00973FBB">
        <w:trPr>
          <w:trHeight w:val="311"/>
          <w:jc w:val="center"/>
        </w:trPr>
        <w:tc>
          <w:tcPr>
            <w:tcW w:w="4177" w:type="dxa"/>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5000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10000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96</w:t>
            </w:r>
          </w:p>
        </w:tc>
      </w:tr>
      <w:tr w:rsidR="00973FBB">
        <w:trPr>
          <w:trHeight w:val="311"/>
          <w:jc w:val="center"/>
        </w:trPr>
        <w:tc>
          <w:tcPr>
            <w:tcW w:w="4177" w:type="dxa"/>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3000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5000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112</w:t>
            </w:r>
          </w:p>
        </w:tc>
      </w:tr>
      <w:tr w:rsidR="00973FBB">
        <w:trPr>
          <w:trHeight w:val="311"/>
          <w:jc w:val="center"/>
        </w:trPr>
        <w:tc>
          <w:tcPr>
            <w:tcW w:w="4177" w:type="dxa"/>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1000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3000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229</w:t>
            </w:r>
          </w:p>
        </w:tc>
      </w:tr>
      <w:tr w:rsidR="00973FBB">
        <w:trPr>
          <w:trHeight w:val="424"/>
          <w:jc w:val="center"/>
        </w:trPr>
        <w:tc>
          <w:tcPr>
            <w:tcW w:w="4177" w:type="dxa"/>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500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1000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151</w:t>
            </w:r>
          </w:p>
        </w:tc>
      </w:tr>
      <w:tr w:rsidR="00973FBB">
        <w:trPr>
          <w:trHeight w:val="311"/>
          <w:jc w:val="center"/>
        </w:trPr>
        <w:tc>
          <w:tcPr>
            <w:tcW w:w="4177" w:type="dxa"/>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100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500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232</w:t>
            </w:r>
          </w:p>
        </w:tc>
      </w:tr>
      <w:tr w:rsidR="00973FBB">
        <w:trPr>
          <w:trHeight w:val="311"/>
          <w:jc w:val="center"/>
        </w:trPr>
        <w:tc>
          <w:tcPr>
            <w:tcW w:w="4177"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sz w:val="20"/>
                <w:szCs w:val="20"/>
              </w:rPr>
              <w:t>&lt;</w:t>
            </w:r>
            <w:r>
              <w:rPr>
                <w:rFonts w:ascii="Arial" w:eastAsia="等线" w:hAnsi="Arial" w:cs="Arial" w:hint="eastAsia"/>
                <w:sz w:val="20"/>
                <w:szCs w:val="20"/>
              </w:rPr>
              <w:t>100</w:t>
            </w:r>
          </w:p>
        </w:tc>
        <w:tc>
          <w:tcPr>
            <w:tcW w:w="4050" w:type="dxa"/>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116</w:t>
            </w:r>
          </w:p>
        </w:tc>
      </w:tr>
    </w:tbl>
    <w:p w:rsidR="00973FBB" w:rsidRDefault="008721DD">
      <w:pPr>
        <w:spacing w:afterLines="50" w:after="156"/>
        <w:ind w:firstLineChars="200" w:firstLine="420"/>
      </w:pPr>
      <w:r>
        <w:rPr>
          <w:rFonts w:ascii="仿宋" w:eastAsia="仿宋" w:hAnsi="仿宋" w:cs="仿宋" w:hint="eastAsia"/>
        </w:rPr>
        <w:t>注：此数据统计不包含“棚户区改造”数据。</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bookmarkStart w:id="4" w:name="_Toc32695"/>
      <w:r w:rsidRPr="00E821D7">
        <w:rPr>
          <w:rFonts w:ascii="宋体" w:eastAsia="宋体" w:hAnsi="宋体" w:cs="宋体" w:hint="eastAsia"/>
          <w:b/>
          <w:kern w:val="2"/>
          <w:sz w:val="21"/>
          <w:szCs w:val="21"/>
        </w:rPr>
        <w:t>1.2</w:t>
      </w:r>
      <w:bookmarkEnd w:id="4"/>
      <w:r w:rsidRPr="00E821D7">
        <w:rPr>
          <w:rFonts w:ascii="宋体" w:eastAsia="宋体" w:hAnsi="宋体" w:cs="宋体" w:hint="eastAsia"/>
          <w:b/>
          <w:kern w:val="2"/>
          <w:sz w:val="21"/>
          <w:szCs w:val="21"/>
        </w:rPr>
        <w:t>腾退后</w:t>
      </w:r>
      <w:proofErr w:type="gramStart"/>
      <w:r w:rsidRPr="00E821D7">
        <w:rPr>
          <w:rFonts w:ascii="宋体" w:eastAsia="宋体" w:hAnsi="宋体" w:cs="宋体" w:hint="eastAsia"/>
          <w:b/>
          <w:kern w:val="2"/>
          <w:sz w:val="21"/>
          <w:szCs w:val="21"/>
        </w:rPr>
        <w:t>待利用</w:t>
      </w:r>
      <w:proofErr w:type="gramEnd"/>
      <w:r w:rsidRPr="00E821D7">
        <w:rPr>
          <w:rFonts w:ascii="宋体" w:eastAsia="宋体" w:hAnsi="宋体" w:cs="宋体" w:hint="eastAsia"/>
          <w:b/>
          <w:kern w:val="2"/>
          <w:sz w:val="21"/>
          <w:szCs w:val="21"/>
        </w:rPr>
        <w:t>土地情况</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根</w:t>
      </w:r>
      <w:r w:rsidR="00A91B55">
        <w:rPr>
          <w:rFonts w:ascii="宋体" w:eastAsia="宋体" w:hAnsi="宋体" w:cs="宋体" w:hint="eastAsia"/>
          <w:kern w:val="2"/>
          <w:sz w:val="21"/>
          <w:szCs w:val="21"/>
        </w:rPr>
        <w:t>据现阶段工作完成情况，</w:t>
      </w:r>
      <w:proofErr w:type="gramStart"/>
      <w:r w:rsidR="00A91B55">
        <w:rPr>
          <w:rFonts w:ascii="宋体" w:eastAsia="宋体" w:hAnsi="宋体" w:cs="宋体" w:hint="eastAsia"/>
          <w:kern w:val="2"/>
          <w:sz w:val="21"/>
          <w:szCs w:val="21"/>
        </w:rPr>
        <w:t>统计出腾退后</w:t>
      </w:r>
      <w:proofErr w:type="gramEnd"/>
      <w:r w:rsidR="00A91B55">
        <w:rPr>
          <w:rFonts w:ascii="宋体" w:eastAsia="宋体" w:hAnsi="宋体" w:cs="宋体" w:hint="eastAsia"/>
          <w:kern w:val="2"/>
          <w:sz w:val="21"/>
          <w:szCs w:val="21"/>
        </w:rPr>
        <w:t>已利用土地占“疏解整治促提升</w:t>
      </w:r>
      <w:r>
        <w:rPr>
          <w:rFonts w:ascii="宋体" w:eastAsia="宋体" w:hAnsi="宋体" w:cs="宋体" w:hint="eastAsia"/>
          <w:kern w:val="2"/>
          <w:sz w:val="21"/>
          <w:szCs w:val="21"/>
        </w:rPr>
        <w:t>专项行动</w:t>
      </w:r>
      <w:r w:rsidR="00A91B55">
        <w:rPr>
          <w:rFonts w:ascii="宋体" w:eastAsia="宋体" w:hAnsi="宋体" w:cs="宋体" w:hint="eastAsia"/>
          <w:kern w:val="2"/>
          <w:sz w:val="21"/>
          <w:szCs w:val="21"/>
        </w:rPr>
        <w:t>”</w:t>
      </w:r>
      <w:r>
        <w:rPr>
          <w:rFonts w:ascii="宋体" w:eastAsia="宋体" w:hAnsi="宋体" w:cs="宋体" w:hint="eastAsia"/>
          <w:kern w:val="2"/>
          <w:sz w:val="21"/>
          <w:szCs w:val="21"/>
        </w:rPr>
        <w:t>腾退面积的44.05%，共计596.43万平方米；其余均为</w:t>
      </w:r>
      <w:proofErr w:type="gramStart"/>
      <w:r>
        <w:rPr>
          <w:rFonts w:ascii="宋体" w:eastAsia="宋体" w:hAnsi="宋体" w:cs="宋体" w:hint="eastAsia"/>
          <w:kern w:val="2"/>
          <w:sz w:val="21"/>
          <w:szCs w:val="21"/>
        </w:rPr>
        <w:t>待利用</w:t>
      </w:r>
      <w:proofErr w:type="gramEnd"/>
      <w:r>
        <w:rPr>
          <w:rFonts w:ascii="宋体" w:eastAsia="宋体" w:hAnsi="宋体" w:cs="宋体" w:hint="eastAsia"/>
          <w:kern w:val="2"/>
          <w:sz w:val="21"/>
          <w:szCs w:val="21"/>
        </w:rPr>
        <w:t>土地，占比55.95%，共计757.52</w:t>
      </w:r>
      <w:r w:rsidR="00A91B55">
        <w:rPr>
          <w:rFonts w:ascii="宋体" w:eastAsia="宋体" w:hAnsi="宋体" w:cs="宋体" w:hint="eastAsia"/>
          <w:kern w:val="2"/>
          <w:sz w:val="21"/>
          <w:szCs w:val="21"/>
        </w:rPr>
        <w:t>万平方米。除去棚户区改造</w:t>
      </w:r>
      <w:r>
        <w:rPr>
          <w:rFonts w:ascii="宋体" w:eastAsia="宋体" w:hAnsi="宋体" w:cs="宋体" w:hint="eastAsia"/>
          <w:kern w:val="2"/>
          <w:sz w:val="21"/>
          <w:szCs w:val="21"/>
        </w:rPr>
        <w:t>，腾退后</w:t>
      </w:r>
      <w:proofErr w:type="gramStart"/>
      <w:r>
        <w:rPr>
          <w:rFonts w:ascii="宋体" w:eastAsia="宋体" w:hAnsi="宋体" w:cs="宋体" w:hint="eastAsia"/>
          <w:kern w:val="2"/>
          <w:sz w:val="21"/>
          <w:szCs w:val="21"/>
        </w:rPr>
        <w:t>待利用</w:t>
      </w:r>
      <w:proofErr w:type="gramEnd"/>
      <w:r>
        <w:rPr>
          <w:rFonts w:ascii="宋体" w:eastAsia="宋体" w:hAnsi="宋体" w:cs="宋体" w:hint="eastAsia"/>
          <w:kern w:val="2"/>
          <w:sz w:val="21"/>
          <w:szCs w:val="21"/>
        </w:rPr>
        <w:t>土地为505.72平方米。</w:t>
      </w:r>
    </w:p>
    <w:p w:rsidR="00973FBB" w:rsidRDefault="00A91B55">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从土地权属看：</w:t>
      </w:r>
      <w:r w:rsidR="008721DD">
        <w:rPr>
          <w:rFonts w:ascii="宋体" w:eastAsia="宋体" w:hAnsi="宋体" w:cs="宋体" w:hint="eastAsia"/>
          <w:kern w:val="2"/>
          <w:sz w:val="21"/>
          <w:szCs w:val="21"/>
        </w:rPr>
        <w:t>国有土地170.32万平方米，占总量的33.67%；集体建设用地335.40万平方米，占腾退</w:t>
      </w:r>
      <w:proofErr w:type="gramStart"/>
      <w:r w:rsidR="008721DD">
        <w:rPr>
          <w:rFonts w:ascii="宋体" w:eastAsia="宋体" w:hAnsi="宋体" w:cs="宋体" w:hint="eastAsia"/>
          <w:kern w:val="2"/>
          <w:sz w:val="21"/>
          <w:szCs w:val="21"/>
        </w:rPr>
        <w:t>待利用</w:t>
      </w:r>
      <w:proofErr w:type="gramEnd"/>
      <w:r w:rsidR="008721DD">
        <w:rPr>
          <w:rFonts w:ascii="宋体" w:eastAsia="宋体" w:hAnsi="宋体" w:cs="宋体" w:hint="eastAsia"/>
          <w:kern w:val="2"/>
          <w:sz w:val="21"/>
          <w:szCs w:val="21"/>
        </w:rPr>
        <w:t>土地总量的66.33%。</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从面积规模看：</w:t>
      </w:r>
      <w:proofErr w:type="gramStart"/>
      <w:r>
        <w:rPr>
          <w:rFonts w:ascii="宋体" w:eastAsia="宋体" w:hAnsi="宋体" w:cs="宋体" w:hint="eastAsia"/>
          <w:kern w:val="2"/>
          <w:sz w:val="21"/>
          <w:szCs w:val="21"/>
        </w:rPr>
        <w:t>待利用</w:t>
      </w:r>
      <w:proofErr w:type="gramEnd"/>
      <w:r>
        <w:rPr>
          <w:rFonts w:ascii="宋体" w:eastAsia="宋体" w:hAnsi="宋体" w:cs="宋体" w:hint="eastAsia"/>
          <w:kern w:val="2"/>
          <w:sz w:val="21"/>
          <w:szCs w:val="21"/>
        </w:rPr>
        <w:t>地块规模在1000</w:t>
      </w:r>
      <w:r w:rsidR="00A91B55">
        <w:rPr>
          <w:rFonts w:ascii="Malgun Gothic Semilight" w:eastAsia="Malgun Gothic Semilight" w:hAnsi="Malgun Gothic Semilight" w:cs="Malgun Gothic Semilight" w:hint="eastAsia"/>
          <w:kern w:val="2"/>
          <w:sz w:val="21"/>
          <w:szCs w:val="21"/>
        </w:rPr>
        <w:t>~</w:t>
      </w:r>
      <w:r>
        <w:rPr>
          <w:rFonts w:ascii="宋体" w:eastAsia="宋体" w:hAnsi="宋体" w:cs="宋体" w:hint="eastAsia"/>
          <w:kern w:val="2"/>
          <w:sz w:val="21"/>
          <w:szCs w:val="21"/>
        </w:rPr>
        <w:t>3000平方米间</w:t>
      </w:r>
      <w:r w:rsidR="00E821D7">
        <w:rPr>
          <w:rFonts w:ascii="宋体" w:eastAsia="宋体" w:hAnsi="宋体" w:cs="宋体" w:hint="eastAsia"/>
          <w:kern w:val="2"/>
          <w:sz w:val="21"/>
          <w:szCs w:val="21"/>
        </w:rPr>
        <w:t>的</w:t>
      </w:r>
      <w:r w:rsidR="00E821D7">
        <w:rPr>
          <w:rFonts w:ascii="宋体" w:eastAsia="宋体" w:hAnsi="宋体" w:cs="宋体"/>
          <w:kern w:val="2"/>
          <w:sz w:val="21"/>
          <w:szCs w:val="21"/>
        </w:rPr>
        <w:t>最多</w:t>
      </w:r>
      <w:r>
        <w:rPr>
          <w:rFonts w:ascii="宋体" w:eastAsia="宋体" w:hAnsi="宋体" w:cs="宋体" w:hint="eastAsia"/>
          <w:kern w:val="2"/>
          <w:sz w:val="21"/>
          <w:szCs w:val="21"/>
        </w:rPr>
        <w:t>，共</w:t>
      </w:r>
      <w:r w:rsidR="00E821D7">
        <w:rPr>
          <w:rFonts w:ascii="宋体" w:eastAsia="宋体" w:hAnsi="宋体" w:cs="宋体" w:hint="eastAsia"/>
          <w:kern w:val="2"/>
          <w:sz w:val="21"/>
          <w:szCs w:val="21"/>
        </w:rPr>
        <w:t>有</w:t>
      </w:r>
      <w:r>
        <w:rPr>
          <w:rFonts w:ascii="宋体" w:eastAsia="宋体" w:hAnsi="宋体" w:cs="宋体" w:hint="eastAsia"/>
          <w:kern w:val="2"/>
          <w:sz w:val="21"/>
          <w:szCs w:val="21"/>
        </w:rPr>
        <w:t>187宗；大于10万平方米的地块仅有6宗；大多数地块分散、零碎，且存在大量边角地块，利用难度较大（表2）。</w:t>
      </w:r>
    </w:p>
    <w:tbl>
      <w:tblPr>
        <w:tblpPr w:leftFromText="180" w:rightFromText="180" w:vertAnchor="text" w:horzAnchor="page" w:tblpX="2134" w:tblpY="614"/>
        <w:tblOverlap w:val="never"/>
        <w:tblW w:w="7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3860"/>
      </w:tblGrid>
      <w:tr w:rsidR="00973FBB">
        <w:trPr>
          <w:trHeight w:val="320"/>
        </w:trPr>
        <w:tc>
          <w:tcPr>
            <w:tcW w:w="3997" w:type="dxa"/>
            <w:shd w:val="clear" w:color="auto" w:fill="auto"/>
            <w:tcMar>
              <w:top w:w="15" w:type="dxa"/>
              <w:left w:w="15" w:type="dxa"/>
              <w:bottom w:w="15" w:type="dxa"/>
              <w:right w:w="15" w:type="dxa"/>
            </w:tcMar>
            <w:vAlign w:val="center"/>
          </w:tcPr>
          <w:p w:rsidR="00973FBB" w:rsidRDefault="008721DD">
            <w:pPr>
              <w:jc w:val="center"/>
              <w:textAlignment w:val="center"/>
              <w:rPr>
                <w:rFonts w:ascii="Calibri Light" w:eastAsia="宋体" w:hAnsi="Calibri Light" w:cs="Calibri Light"/>
                <w:b/>
                <w:sz w:val="22"/>
              </w:rPr>
            </w:pPr>
            <w:r>
              <w:rPr>
                <w:rFonts w:asciiTheme="minorEastAsia" w:eastAsia="宋体" w:hAnsiTheme="minorEastAsia" w:cs="Calibri Light" w:hint="eastAsia"/>
                <w:b/>
                <w:kern w:val="0"/>
                <w:sz w:val="22"/>
                <w:lang w:bidi="ar"/>
              </w:rPr>
              <w:t>规模（平方米）</w:t>
            </w:r>
          </w:p>
        </w:tc>
        <w:tc>
          <w:tcPr>
            <w:tcW w:w="3860" w:type="dxa"/>
            <w:shd w:val="clear" w:color="auto" w:fill="auto"/>
            <w:tcMar>
              <w:top w:w="15" w:type="dxa"/>
              <w:left w:w="15" w:type="dxa"/>
              <w:bottom w:w="15" w:type="dxa"/>
              <w:right w:w="15" w:type="dxa"/>
            </w:tcMar>
            <w:vAlign w:val="center"/>
          </w:tcPr>
          <w:p w:rsidR="00973FBB" w:rsidRDefault="008721DD">
            <w:pPr>
              <w:ind w:firstLineChars="100" w:firstLine="221"/>
              <w:jc w:val="center"/>
              <w:textAlignment w:val="center"/>
              <w:rPr>
                <w:rFonts w:ascii="Calibri Light" w:eastAsia="宋体" w:hAnsi="Calibri Light" w:cs="Calibri Light"/>
                <w:b/>
                <w:sz w:val="22"/>
              </w:rPr>
            </w:pPr>
            <w:r>
              <w:rPr>
                <w:rFonts w:asciiTheme="minorEastAsia" w:eastAsia="宋体" w:hAnsiTheme="minorEastAsia" w:cs="Calibri Light" w:hint="eastAsia"/>
                <w:b/>
                <w:sz w:val="22"/>
              </w:rPr>
              <w:t>地块（宗）</w:t>
            </w:r>
          </w:p>
        </w:tc>
      </w:tr>
      <w:tr w:rsidR="00973FBB">
        <w:trPr>
          <w:trHeight w:val="320"/>
        </w:trPr>
        <w:tc>
          <w:tcPr>
            <w:tcW w:w="3997" w:type="dxa"/>
            <w:shd w:val="clear" w:color="auto" w:fill="auto"/>
            <w:tcMar>
              <w:top w:w="15" w:type="dxa"/>
              <w:left w:w="15" w:type="dxa"/>
              <w:bottom w:w="15" w:type="dxa"/>
              <w:right w:w="15" w:type="dxa"/>
            </w:tcMar>
            <w:vAlign w:val="center"/>
          </w:tcPr>
          <w:p w:rsidR="00973FBB" w:rsidRDefault="008721DD">
            <w:pPr>
              <w:jc w:val="center"/>
              <w:textAlignment w:val="center"/>
              <w:rPr>
                <w:rFonts w:ascii="等线" w:eastAsia="等线" w:hAnsi="等线" w:cs="等线"/>
                <w:sz w:val="20"/>
                <w:szCs w:val="20"/>
              </w:rPr>
            </w:pPr>
            <w:r>
              <w:rPr>
                <w:rFonts w:ascii="Arial" w:eastAsia="等线" w:hAnsi="Arial" w:cs="Arial"/>
                <w:sz w:val="20"/>
                <w:szCs w:val="20"/>
              </w:rPr>
              <w:t>&gt;</w:t>
            </w:r>
            <w:r>
              <w:rPr>
                <w:rFonts w:ascii="Arial" w:eastAsia="等线" w:hAnsi="Arial" w:cs="Arial" w:hint="eastAsia"/>
                <w:sz w:val="20"/>
                <w:szCs w:val="20"/>
              </w:rPr>
              <w:t>100000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6</w:t>
            </w:r>
          </w:p>
        </w:tc>
      </w:tr>
      <w:tr w:rsidR="00973FBB">
        <w:trPr>
          <w:trHeight w:val="375"/>
        </w:trPr>
        <w:tc>
          <w:tcPr>
            <w:tcW w:w="3997" w:type="dxa"/>
            <w:shd w:val="clear" w:color="auto" w:fill="auto"/>
            <w:tcMar>
              <w:top w:w="15" w:type="dxa"/>
              <w:left w:w="15" w:type="dxa"/>
              <w:bottom w:w="15" w:type="dxa"/>
              <w:right w:w="15" w:type="dxa"/>
            </w:tcMar>
            <w:vAlign w:val="center"/>
          </w:tcPr>
          <w:p w:rsidR="00973FBB" w:rsidRDefault="008721DD" w:rsidP="00A91B55">
            <w:pPr>
              <w:jc w:val="center"/>
              <w:textAlignment w:val="center"/>
              <w:rPr>
                <w:rFonts w:ascii="等线" w:eastAsia="等线" w:hAnsi="等线" w:cs="等线"/>
                <w:sz w:val="20"/>
                <w:szCs w:val="20"/>
              </w:rPr>
            </w:pPr>
            <w:r>
              <w:rPr>
                <w:rFonts w:ascii="Arial" w:eastAsia="等线" w:hAnsi="Arial" w:cs="Arial" w:hint="eastAsia"/>
                <w:sz w:val="20"/>
                <w:szCs w:val="20"/>
              </w:rPr>
              <w:t>50000</w:t>
            </w:r>
            <w:r w:rsidR="00A91B55">
              <w:rPr>
                <w:rFonts w:ascii="Malgun Gothic Semilight" w:eastAsia="Malgun Gothic Semilight" w:hAnsi="Malgun Gothic Semilight" w:cs="Malgun Gothic Semilight" w:hint="eastAsia"/>
                <w:szCs w:val="21"/>
              </w:rPr>
              <w:t>~</w:t>
            </w:r>
            <w:r>
              <w:rPr>
                <w:rFonts w:ascii="Arial" w:eastAsia="等线" w:hAnsi="Arial" w:cs="Arial" w:hint="eastAsia"/>
                <w:sz w:val="20"/>
                <w:szCs w:val="20"/>
              </w:rPr>
              <w:t>100000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5</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rsidP="00A91B55">
            <w:pPr>
              <w:jc w:val="center"/>
              <w:textAlignment w:val="center"/>
              <w:rPr>
                <w:rFonts w:ascii="等线" w:eastAsia="等线" w:hAnsi="等线" w:cs="等线"/>
                <w:sz w:val="20"/>
                <w:szCs w:val="20"/>
              </w:rPr>
            </w:pPr>
            <w:r>
              <w:rPr>
                <w:rFonts w:ascii="Arial" w:eastAsia="等线" w:hAnsi="Arial" w:cs="Arial" w:hint="eastAsia"/>
                <w:sz w:val="20"/>
                <w:szCs w:val="20"/>
              </w:rPr>
              <w:t>10000</w:t>
            </w:r>
            <w:r w:rsidR="00A91B55">
              <w:rPr>
                <w:rFonts w:ascii="Malgun Gothic Semilight" w:eastAsia="Malgun Gothic Semilight" w:hAnsi="Malgun Gothic Semilight" w:cs="Malgun Gothic Semilight" w:hint="eastAsia"/>
                <w:sz w:val="20"/>
                <w:szCs w:val="20"/>
              </w:rPr>
              <w:t>~</w:t>
            </w:r>
            <w:r>
              <w:rPr>
                <w:rFonts w:ascii="Arial" w:eastAsia="等线" w:hAnsi="Arial" w:cs="Arial" w:hint="eastAsia"/>
                <w:sz w:val="20"/>
                <w:szCs w:val="20"/>
              </w:rPr>
              <w:t>50000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103</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rsidP="00E0070A">
            <w:pPr>
              <w:jc w:val="center"/>
              <w:textAlignment w:val="center"/>
              <w:rPr>
                <w:rFonts w:ascii="Arial" w:eastAsia="等线" w:hAnsi="Arial" w:cs="Arial"/>
                <w:sz w:val="20"/>
                <w:szCs w:val="20"/>
              </w:rPr>
            </w:pPr>
            <w:r>
              <w:rPr>
                <w:rFonts w:ascii="Arial" w:eastAsia="等线" w:hAnsi="Arial" w:cs="Arial" w:hint="eastAsia"/>
                <w:sz w:val="20"/>
                <w:szCs w:val="20"/>
              </w:rPr>
              <w:t>5000</w:t>
            </w:r>
            <w:r w:rsidR="00E0070A">
              <w:rPr>
                <w:rFonts w:ascii="Malgun Gothic Semilight" w:eastAsia="Malgun Gothic Semilight" w:hAnsi="Malgun Gothic Semilight" w:cs="Malgun Gothic Semilight" w:hint="eastAsia"/>
                <w:sz w:val="20"/>
                <w:szCs w:val="20"/>
              </w:rPr>
              <w:t>~</w:t>
            </w:r>
            <w:r>
              <w:rPr>
                <w:rFonts w:ascii="Arial" w:eastAsia="等线" w:hAnsi="Arial" w:cs="Arial" w:hint="eastAsia"/>
                <w:sz w:val="20"/>
                <w:szCs w:val="20"/>
              </w:rPr>
              <w:t>10000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69</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3000</w:t>
            </w:r>
            <w:r w:rsidR="00A91B55">
              <w:rPr>
                <w:rFonts w:ascii="Malgun Gothic Semilight" w:eastAsia="Malgun Gothic Semilight" w:hAnsi="Malgun Gothic Semilight" w:cs="Malgun Gothic Semilight" w:hint="eastAsia"/>
                <w:sz w:val="20"/>
                <w:szCs w:val="20"/>
              </w:rPr>
              <w:t>~</w:t>
            </w:r>
            <w:r>
              <w:rPr>
                <w:rFonts w:ascii="Arial" w:eastAsia="等线" w:hAnsi="Arial" w:cs="Arial" w:hint="eastAsia"/>
                <w:sz w:val="20"/>
                <w:szCs w:val="20"/>
              </w:rPr>
              <w:t>5000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62</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1000</w:t>
            </w:r>
            <w:r w:rsidR="00A91B55">
              <w:rPr>
                <w:rFonts w:ascii="Malgun Gothic Semilight" w:eastAsia="Malgun Gothic Semilight" w:hAnsi="Malgun Gothic Semilight" w:cs="Malgun Gothic Semilight" w:hint="eastAsia"/>
                <w:sz w:val="20"/>
                <w:szCs w:val="20"/>
              </w:rPr>
              <w:t>~</w:t>
            </w:r>
            <w:r>
              <w:rPr>
                <w:rFonts w:ascii="Arial" w:eastAsia="等线" w:hAnsi="Arial" w:cs="Arial" w:hint="eastAsia"/>
                <w:sz w:val="20"/>
                <w:szCs w:val="20"/>
              </w:rPr>
              <w:t>3000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187</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500</w:t>
            </w:r>
            <w:r w:rsidR="00A91B55">
              <w:rPr>
                <w:rFonts w:ascii="Malgun Gothic Semilight" w:eastAsia="Malgun Gothic Semilight" w:hAnsi="Malgun Gothic Semilight" w:cs="Malgun Gothic Semilight" w:hint="eastAsia"/>
                <w:sz w:val="20"/>
                <w:szCs w:val="20"/>
              </w:rPr>
              <w:t>~</w:t>
            </w:r>
            <w:r>
              <w:rPr>
                <w:rFonts w:ascii="Arial" w:eastAsia="等线" w:hAnsi="Arial" w:cs="Arial" w:hint="eastAsia"/>
                <w:sz w:val="20"/>
                <w:szCs w:val="20"/>
              </w:rPr>
              <w:t>1000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144</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rsidP="00A91B55">
            <w:pPr>
              <w:jc w:val="center"/>
              <w:textAlignment w:val="center"/>
              <w:rPr>
                <w:rFonts w:ascii="Arial" w:eastAsia="等线" w:hAnsi="Arial" w:cs="Arial"/>
                <w:sz w:val="20"/>
                <w:szCs w:val="20"/>
              </w:rPr>
            </w:pPr>
            <w:r>
              <w:rPr>
                <w:rFonts w:ascii="Arial" w:eastAsia="等线" w:hAnsi="Arial" w:cs="Arial" w:hint="eastAsia"/>
                <w:sz w:val="20"/>
                <w:szCs w:val="20"/>
              </w:rPr>
              <w:t>100</w:t>
            </w:r>
            <w:r w:rsidR="00A91B55">
              <w:rPr>
                <w:rFonts w:ascii="Malgun Gothic Semilight" w:eastAsia="Malgun Gothic Semilight" w:hAnsi="Malgun Gothic Semilight" w:cs="Malgun Gothic Semilight" w:hint="eastAsia"/>
                <w:sz w:val="20"/>
                <w:szCs w:val="20"/>
              </w:rPr>
              <w:t>~</w:t>
            </w:r>
            <w:r>
              <w:rPr>
                <w:rFonts w:ascii="Arial" w:eastAsia="等线" w:hAnsi="Arial" w:cs="Arial" w:hint="eastAsia"/>
                <w:sz w:val="20"/>
                <w:szCs w:val="20"/>
              </w:rPr>
              <w:t>500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150</w:t>
            </w:r>
          </w:p>
        </w:tc>
      </w:tr>
      <w:tr w:rsidR="00973FBB">
        <w:trPr>
          <w:trHeight w:val="311"/>
        </w:trPr>
        <w:tc>
          <w:tcPr>
            <w:tcW w:w="3997"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sz w:val="20"/>
                <w:szCs w:val="20"/>
              </w:rPr>
              <w:t>&lt;</w:t>
            </w:r>
            <w:r>
              <w:rPr>
                <w:rFonts w:ascii="Arial" w:eastAsia="等线" w:hAnsi="Arial" w:cs="Arial" w:hint="eastAsia"/>
                <w:sz w:val="20"/>
                <w:szCs w:val="20"/>
              </w:rPr>
              <w:t>100</w:t>
            </w:r>
          </w:p>
        </w:tc>
        <w:tc>
          <w:tcPr>
            <w:tcW w:w="3860" w:type="dxa"/>
            <w:shd w:val="clear" w:color="auto" w:fill="auto"/>
            <w:tcMar>
              <w:top w:w="15" w:type="dxa"/>
              <w:left w:w="15" w:type="dxa"/>
              <w:bottom w:w="15" w:type="dxa"/>
              <w:right w:w="15" w:type="dxa"/>
            </w:tcMar>
            <w:vAlign w:val="center"/>
          </w:tcPr>
          <w:p w:rsidR="00973FBB" w:rsidRDefault="008721DD">
            <w:pPr>
              <w:jc w:val="center"/>
              <w:textAlignment w:val="center"/>
              <w:rPr>
                <w:rFonts w:ascii="Arial" w:eastAsia="等线" w:hAnsi="Arial" w:cs="Arial"/>
                <w:sz w:val="20"/>
                <w:szCs w:val="20"/>
              </w:rPr>
            </w:pPr>
            <w:r>
              <w:rPr>
                <w:rFonts w:ascii="Arial" w:eastAsia="等线" w:hAnsi="Arial" w:cs="Arial" w:hint="eastAsia"/>
                <w:sz w:val="20"/>
                <w:szCs w:val="20"/>
              </w:rPr>
              <w:t>17</w:t>
            </w:r>
          </w:p>
        </w:tc>
      </w:tr>
    </w:tbl>
    <w:p w:rsidR="00973FBB" w:rsidRDefault="008721DD">
      <w:pPr>
        <w:pStyle w:val="ac"/>
        <w:spacing w:beforeAutospacing="0" w:afterAutospacing="0" w:line="560" w:lineRule="exact"/>
        <w:ind w:firstLineChars="1300" w:firstLine="2730"/>
        <w:jc w:val="both"/>
        <w:rPr>
          <w:rFonts w:ascii="黑体" w:eastAsia="黑体" w:hAnsi="黑体" w:cs="黑体"/>
          <w:sz w:val="21"/>
          <w:szCs w:val="21"/>
        </w:rPr>
      </w:pPr>
      <w:r>
        <w:rPr>
          <w:rFonts w:ascii="黑体" w:eastAsia="黑体" w:hAnsi="黑体" w:cs="黑体" w:hint="eastAsia"/>
          <w:sz w:val="21"/>
          <w:szCs w:val="21"/>
        </w:rPr>
        <w:t>表2  顺义区</w:t>
      </w:r>
      <w:proofErr w:type="gramStart"/>
      <w:r>
        <w:rPr>
          <w:rFonts w:ascii="黑体" w:eastAsia="黑体" w:hAnsi="黑体" w:cs="黑体" w:hint="eastAsia"/>
          <w:sz w:val="21"/>
          <w:szCs w:val="21"/>
        </w:rPr>
        <w:t>待利用</w:t>
      </w:r>
      <w:proofErr w:type="gramEnd"/>
      <w:r>
        <w:rPr>
          <w:rFonts w:ascii="黑体" w:eastAsia="黑体" w:hAnsi="黑体" w:cs="黑体" w:hint="eastAsia"/>
          <w:sz w:val="21"/>
          <w:szCs w:val="21"/>
        </w:rPr>
        <w:t>土地规模分布情况</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从土地利用类型看：工矿仓储用地面积最大，共计368.4万平方米，占全部</w:t>
      </w:r>
      <w:proofErr w:type="gramStart"/>
      <w:r>
        <w:rPr>
          <w:rFonts w:ascii="宋体" w:eastAsia="宋体" w:hAnsi="宋体" w:cs="宋体" w:hint="eastAsia"/>
          <w:kern w:val="2"/>
          <w:sz w:val="21"/>
          <w:szCs w:val="21"/>
        </w:rPr>
        <w:t>待利用</w:t>
      </w:r>
      <w:proofErr w:type="gramEnd"/>
      <w:r>
        <w:rPr>
          <w:rFonts w:ascii="宋体" w:eastAsia="宋体" w:hAnsi="宋体" w:cs="宋体" w:hint="eastAsia"/>
          <w:kern w:val="2"/>
          <w:sz w:val="21"/>
          <w:szCs w:val="21"/>
        </w:rPr>
        <w:t>土地的73%；其次是住宅用地73.73万平方米，占总量的15%；再次是商服用地51.38万平方米，</w:t>
      </w:r>
      <w:r>
        <w:rPr>
          <w:rFonts w:ascii="宋体" w:eastAsia="宋体" w:hAnsi="宋体" w:cs="宋体" w:hint="eastAsia"/>
          <w:kern w:val="2"/>
          <w:sz w:val="21"/>
          <w:szCs w:val="21"/>
        </w:rPr>
        <w:lastRenderedPageBreak/>
        <w:t>占总量的10%；耕地11.82万平方米，占总量的2%。</w:t>
      </w:r>
    </w:p>
    <w:p w:rsidR="00973FBB" w:rsidRPr="00E821D7" w:rsidRDefault="00A91B55" w:rsidP="00A91B55">
      <w:pPr>
        <w:pStyle w:val="ac"/>
        <w:spacing w:beforeAutospacing="0" w:afterAutospacing="0" w:line="360" w:lineRule="auto"/>
        <w:jc w:val="both"/>
        <w:outlineLvl w:val="0"/>
        <w:rPr>
          <w:rFonts w:ascii="宋体" w:eastAsia="宋体" w:hAnsi="宋体" w:cs="宋体"/>
          <w:b/>
          <w:kern w:val="2"/>
          <w:sz w:val="28"/>
          <w:szCs w:val="28"/>
        </w:rPr>
      </w:pPr>
      <w:bookmarkStart w:id="5" w:name="_Toc22298"/>
      <w:bookmarkStart w:id="6" w:name="_Toc19586"/>
      <w:r>
        <w:rPr>
          <w:rFonts w:ascii="宋体" w:eastAsia="宋体" w:hAnsi="宋体" w:cs="宋体" w:hint="eastAsia"/>
          <w:b/>
          <w:kern w:val="2"/>
          <w:sz w:val="28"/>
          <w:szCs w:val="28"/>
        </w:rPr>
        <w:t xml:space="preserve">2 </w:t>
      </w:r>
      <w:r w:rsidR="008721DD" w:rsidRPr="00E821D7">
        <w:rPr>
          <w:rFonts w:ascii="宋体" w:eastAsia="宋体" w:hAnsi="宋体" w:cs="宋体" w:hint="eastAsia"/>
          <w:b/>
          <w:kern w:val="2"/>
          <w:sz w:val="28"/>
          <w:szCs w:val="28"/>
        </w:rPr>
        <w:t>顺义区腾退空间再利用实践中存在的主要问题</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bookmarkStart w:id="7" w:name="_Toc17679"/>
      <w:bookmarkStart w:id="8" w:name="_Toc27383"/>
      <w:bookmarkStart w:id="9" w:name="_Toc13368"/>
      <w:r w:rsidRPr="00E821D7">
        <w:rPr>
          <w:rFonts w:ascii="宋体" w:eastAsia="宋体" w:hAnsi="宋体" w:cs="宋体" w:hint="eastAsia"/>
          <w:b/>
          <w:kern w:val="2"/>
          <w:sz w:val="21"/>
          <w:szCs w:val="21"/>
        </w:rPr>
        <w:t>2.1腾退空间数据资料不统一</w:t>
      </w:r>
      <w:bookmarkEnd w:id="7"/>
      <w:r w:rsidRPr="00E821D7">
        <w:rPr>
          <w:rFonts w:ascii="宋体" w:eastAsia="宋体" w:hAnsi="宋体" w:cs="宋体" w:hint="eastAsia"/>
          <w:b/>
          <w:kern w:val="2"/>
          <w:sz w:val="21"/>
          <w:szCs w:val="21"/>
        </w:rPr>
        <w:t>，底数不准</w:t>
      </w:r>
      <w:bookmarkEnd w:id="8"/>
      <w:bookmarkEnd w:id="9"/>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疏解整治促提升专项行动涉及一般性制造业、散乱</w:t>
      </w:r>
      <w:proofErr w:type="gramStart"/>
      <w:r>
        <w:rPr>
          <w:rFonts w:ascii="宋体" w:eastAsia="宋体" w:hAnsi="宋体" w:cs="宋体" w:hint="eastAsia"/>
          <w:kern w:val="2"/>
          <w:sz w:val="21"/>
          <w:szCs w:val="21"/>
        </w:rPr>
        <w:t>污</w:t>
      </w:r>
      <w:proofErr w:type="gramEnd"/>
      <w:r>
        <w:rPr>
          <w:rFonts w:ascii="宋体" w:eastAsia="宋体" w:hAnsi="宋体" w:cs="宋体" w:hint="eastAsia"/>
          <w:kern w:val="2"/>
          <w:sz w:val="21"/>
          <w:szCs w:val="21"/>
        </w:rPr>
        <w:t>企业等</w:t>
      </w:r>
      <w:r w:rsidR="00A91B55">
        <w:rPr>
          <w:rFonts w:ascii="宋体" w:eastAsia="宋体" w:hAnsi="宋体" w:cs="宋体" w:hint="eastAsia"/>
          <w:kern w:val="2"/>
          <w:sz w:val="21"/>
          <w:szCs w:val="21"/>
        </w:rPr>
        <w:t>共</w:t>
      </w:r>
      <w:r>
        <w:rPr>
          <w:rFonts w:ascii="宋体" w:eastAsia="宋体" w:hAnsi="宋体" w:cs="宋体" w:hint="eastAsia"/>
          <w:kern w:val="2"/>
          <w:sz w:val="21"/>
          <w:szCs w:val="21"/>
        </w:rPr>
        <w:t>十个大类，各类型的责任主体不同、管辖范围也不同，由于缺乏统一的数据来源及统计口径，各职能部门上报的基础数据存在面积偏差、宗地登记重复、所有权或利用情况与实际不符等问题。腾退土地底数不准，对再利用规划、管理等工作造成一定影响。</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bookmarkStart w:id="10" w:name="_Toc16158"/>
      <w:bookmarkStart w:id="11" w:name="_Toc669"/>
      <w:r w:rsidRPr="00E821D7">
        <w:rPr>
          <w:rFonts w:ascii="宋体" w:eastAsia="宋体" w:hAnsi="宋体" w:cs="宋体" w:hint="eastAsia"/>
          <w:b/>
          <w:kern w:val="2"/>
          <w:sz w:val="21"/>
          <w:szCs w:val="21"/>
        </w:rPr>
        <w:t>2.2土地权属关系复杂</w:t>
      </w:r>
      <w:bookmarkEnd w:id="10"/>
      <w:r w:rsidRPr="00E821D7">
        <w:rPr>
          <w:rFonts w:ascii="宋体" w:eastAsia="宋体" w:hAnsi="宋体" w:cs="宋体" w:hint="eastAsia"/>
          <w:b/>
          <w:kern w:val="2"/>
          <w:sz w:val="21"/>
          <w:szCs w:val="21"/>
        </w:rPr>
        <w:t>，协调难</w:t>
      </w:r>
      <w:bookmarkEnd w:id="11"/>
      <w:r w:rsidRPr="00E821D7">
        <w:rPr>
          <w:rFonts w:ascii="宋体" w:eastAsia="宋体" w:hAnsi="宋体" w:cs="宋体" w:hint="eastAsia"/>
          <w:b/>
          <w:kern w:val="2"/>
          <w:sz w:val="21"/>
          <w:szCs w:val="21"/>
        </w:rPr>
        <w:t>度较大</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顺义区腾退土地按用地性质分为国有土地、集体建设用地，利益主体包括产权方、运营方、承租方、集体经济组织等，</w:t>
      </w:r>
      <w:r w:rsidR="00A91B55">
        <w:rPr>
          <w:rFonts w:ascii="宋体" w:eastAsia="宋体" w:hAnsi="宋体" w:cs="宋体" w:hint="eastAsia"/>
          <w:kern w:val="2"/>
          <w:sz w:val="21"/>
          <w:szCs w:val="21"/>
        </w:rPr>
        <w:t>产权主体包括国企、部队、市级单位、民营企业等，由于产权主体</w:t>
      </w:r>
      <w:r>
        <w:rPr>
          <w:rFonts w:ascii="宋体" w:eastAsia="宋体" w:hAnsi="宋体" w:cs="宋体" w:hint="eastAsia"/>
          <w:kern w:val="2"/>
          <w:sz w:val="21"/>
          <w:szCs w:val="21"/>
        </w:rPr>
        <w:t>利益关系错综复杂，腾退空间再利用推动难度大。特别是集体建设用地，所有权、使用权、承包经营权大多分离，</w:t>
      </w:r>
      <w:r w:rsidR="00A91B55">
        <w:rPr>
          <w:rFonts w:ascii="宋体" w:eastAsia="宋体" w:hAnsi="宋体" w:cs="宋体" w:hint="eastAsia"/>
          <w:kern w:val="2"/>
          <w:sz w:val="21"/>
          <w:szCs w:val="21"/>
        </w:rPr>
        <w:t>多次流转现象较普遍，且绝大多数土地尚处在承包合同期限内，导致</w:t>
      </w:r>
      <w:r>
        <w:rPr>
          <w:rFonts w:ascii="宋体" w:eastAsia="宋体" w:hAnsi="宋体" w:cs="宋体" w:hint="eastAsia"/>
          <w:kern w:val="2"/>
          <w:sz w:val="21"/>
          <w:szCs w:val="21"/>
        </w:rPr>
        <w:t>回收管理难度大，再利用面临困境。</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2.3腾退空间政策不健全，统筹引导不够</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当前全北京市尚未出台腾退空间再利用的规范政策，各区在实际工作中通常是依据北京市总体规划、关于保护利用老旧厂房拓展文化空间指导意见等予以适当引导，由于缺乏分行业分领域腾退土地利用的建设标准，导致大多数腾退出的工业用地在转型升级，用于发展高精尖产业、留白增绿等方面时缺乏政策支撑，难以改变土地性质，被迫停留在转型意向上，无法真正推动。</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bookmarkStart w:id="12" w:name="_Toc21504"/>
      <w:bookmarkStart w:id="13" w:name="_Toc12018"/>
      <w:r w:rsidRPr="00E821D7">
        <w:rPr>
          <w:rFonts w:ascii="宋体" w:eastAsia="宋体" w:hAnsi="宋体" w:cs="宋体" w:hint="eastAsia"/>
          <w:b/>
          <w:kern w:val="2"/>
          <w:sz w:val="21"/>
          <w:szCs w:val="21"/>
        </w:rPr>
        <w:t>2.4规划</w:t>
      </w:r>
      <w:bookmarkEnd w:id="12"/>
      <w:r w:rsidRPr="00E821D7">
        <w:rPr>
          <w:rFonts w:ascii="宋体" w:eastAsia="宋体" w:hAnsi="宋体" w:cs="宋体" w:hint="eastAsia"/>
          <w:b/>
          <w:kern w:val="2"/>
          <w:sz w:val="21"/>
          <w:szCs w:val="21"/>
        </w:rPr>
        <w:t>“缺位”“打架”，项目手续办理难</w:t>
      </w:r>
      <w:bookmarkEnd w:id="13"/>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目前，顺义区新的分区空间规划尚未正式出台，各镇</w:t>
      </w:r>
      <w:proofErr w:type="gramStart"/>
      <w:r>
        <w:rPr>
          <w:rFonts w:ascii="宋体" w:eastAsia="宋体" w:hAnsi="宋体" w:cs="宋体" w:hint="eastAsia"/>
          <w:kern w:val="2"/>
          <w:sz w:val="21"/>
          <w:szCs w:val="21"/>
        </w:rPr>
        <w:t>街未来</w:t>
      </w:r>
      <w:proofErr w:type="gramEnd"/>
      <w:r>
        <w:rPr>
          <w:rFonts w:ascii="宋体" w:eastAsia="宋体" w:hAnsi="宋体" w:cs="宋体" w:hint="eastAsia"/>
          <w:kern w:val="2"/>
          <w:sz w:val="21"/>
          <w:szCs w:val="21"/>
        </w:rPr>
        <w:t>发展定位尚未明确，受限</w:t>
      </w:r>
      <w:r w:rsidR="00A91B55">
        <w:rPr>
          <w:rFonts w:ascii="宋体" w:eastAsia="宋体" w:hAnsi="宋体" w:cs="宋体" w:hint="eastAsia"/>
          <w:kern w:val="2"/>
          <w:sz w:val="21"/>
          <w:szCs w:val="21"/>
        </w:rPr>
        <w:t>于</w:t>
      </w:r>
      <w:r>
        <w:rPr>
          <w:rFonts w:ascii="宋体" w:eastAsia="宋体" w:hAnsi="宋体" w:cs="宋体" w:hint="eastAsia"/>
          <w:kern w:val="2"/>
          <w:sz w:val="21"/>
          <w:szCs w:val="21"/>
        </w:rPr>
        <w:t>产业目录不太明晰，一定程度上制约了企业转型升级步伐，降低了土地资源利用效率。此外，部分企业现有土地性质与规划性质不一致，导致利用现有土地实施转型升级困难重重，项目建设之前的手续办理、建成之后的开发利用均面临政策瓶颈。部分地块土地利用总体规划与城乡建设规划不统一，一些企业在淘汰落后产能、拆除老旧厂房、引入商业及研发办公类项目过程中，所在地块性质已由控制性详规调整为多功能或商业用地，但在土地利用总体规划中土地性质却仍为工业工地。土地性质与规划性质调整不同步、不统一，导致很多优质项目难以落地。</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bookmarkStart w:id="14" w:name="_Toc5031"/>
      <w:bookmarkStart w:id="15" w:name="_Toc14892"/>
      <w:r w:rsidRPr="00E821D7">
        <w:rPr>
          <w:rFonts w:ascii="宋体" w:eastAsia="宋体" w:hAnsi="宋体" w:cs="宋体" w:hint="eastAsia"/>
          <w:b/>
          <w:kern w:val="2"/>
          <w:sz w:val="21"/>
          <w:szCs w:val="21"/>
        </w:rPr>
        <w:t>2.5再利用资金来源较少，融资</w:t>
      </w:r>
      <w:bookmarkEnd w:id="14"/>
      <w:bookmarkEnd w:id="15"/>
      <w:r w:rsidRPr="00E821D7">
        <w:rPr>
          <w:rFonts w:ascii="宋体" w:eastAsia="宋体" w:hAnsi="宋体" w:cs="宋体" w:hint="eastAsia"/>
          <w:b/>
          <w:kern w:val="2"/>
          <w:sz w:val="21"/>
          <w:szCs w:val="21"/>
        </w:rPr>
        <w:t>普遍困难</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lastRenderedPageBreak/>
        <w:t>腾退空间再利用需要大量资金投入，但顺义区现有资金来源较为单一，主要依靠政府资金支持，资金不足在一定程度上限制了腾退土地再利用。首先，拆违后</w:t>
      </w:r>
      <w:proofErr w:type="gramStart"/>
      <w:r>
        <w:rPr>
          <w:rFonts w:ascii="宋体" w:eastAsia="宋体" w:hAnsi="宋体" w:cs="宋体" w:hint="eastAsia"/>
          <w:kern w:val="2"/>
          <w:sz w:val="21"/>
          <w:szCs w:val="21"/>
        </w:rPr>
        <w:t>地上物</w:t>
      </w:r>
      <w:proofErr w:type="gramEnd"/>
      <w:r>
        <w:rPr>
          <w:rFonts w:ascii="宋体" w:eastAsia="宋体" w:hAnsi="宋体" w:cs="宋体" w:hint="eastAsia"/>
          <w:kern w:val="2"/>
          <w:sz w:val="21"/>
          <w:szCs w:val="21"/>
        </w:rPr>
        <w:t>重建、基础设施完善、工人劳务费用及后续维护费用等数额较大。其次，企业转型升级过程中，面临着较大的风险，种种原因导致引进产业相符、资金实力强等各方面条件均符合的企业比较困难。即便找到匹配企业，企业改造升级，开拓新行业、研发新技术也需要大量资金。此外，顺义区大多数集体建设用地位于镇域、村落周边或村庄内</w:t>
      </w:r>
      <w:r w:rsidR="00A91B55">
        <w:rPr>
          <w:rFonts w:ascii="宋体" w:eastAsia="宋体" w:hAnsi="宋体" w:cs="宋体" w:hint="eastAsia"/>
          <w:kern w:val="2"/>
          <w:sz w:val="21"/>
          <w:szCs w:val="21"/>
        </w:rPr>
        <w:t>，分布零散，不利于集中开发，资金难以平衡，社会资金进入意愿不强</w:t>
      </w:r>
      <w:r>
        <w:rPr>
          <w:rFonts w:ascii="宋体" w:eastAsia="宋体" w:hAnsi="宋体" w:cs="宋体" w:hint="eastAsia"/>
          <w:kern w:val="2"/>
          <w:sz w:val="21"/>
          <w:szCs w:val="21"/>
        </w:rPr>
        <w:t>。</w:t>
      </w:r>
    </w:p>
    <w:p w:rsidR="00973FBB" w:rsidRPr="00E821D7" w:rsidRDefault="008721DD" w:rsidP="00A91B55">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2.6涉及部门较多，影响</w:t>
      </w:r>
      <w:r w:rsidR="00E821D7" w:rsidRPr="00E821D7">
        <w:rPr>
          <w:rFonts w:ascii="宋体" w:eastAsia="宋体" w:hAnsi="宋体" w:cs="宋体" w:hint="eastAsia"/>
          <w:b/>
          <w:kern w:val="2"/>
          <w:sz w:val="21"/>
          <w:szCs w:val="21"/>
        </w:rPr>
        <w:t>统筹</w:t>
      </w:r>
      <w:r w:rsidRPr="00E821D7">
        <w:rPr>
          <w:rFonts w:ascii="宋体" w:eastAsia="宋体" w:hAnsi="宋体" w:cs="宋体" w:hint="eastAsia"/>
          <w:b/>
          <w:kern w:val="2"/>
          <w:sz w:val="21"/>
          <w:szCs w:val="21"/>
        </w:rPr>
        <w:t>推进</w:t>
      </w:r>
    </w:p>
    <w:p w:rsidR="00973FBB" w:rsidRDefault="008721DD" w:rsidP="001A71BB">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顺义区疏解整治促提升专项行动涉及十余个职能部门，虽然由</w:t>
      </w:r>
      <w:proofErr w:type="gramStart"/>
      <w:r w:rsidR="00A91B55">
        <w:rPr>
          <w:rFonts w:ascii="宋体" w:eastAsia="宋体" w:hAnsi="宋体" w:cs="宋体" w:hint="eastAsia"/>
          <w:kern w:val="2"/>
          <w:sz w:val="21"/>
          <w:szCs w:val="21"/>
        </w:rPr>
        <w:t>区</w:t>
      </w:r>
      <w:r>
        <w:rPr>
          <w:rFonts w:ascii="宋体" w:eastAsia="宋体" w:hAnsi="宋体" w:cs="宋体" w:hint="eastAsia"/>
          <w:kern w:val="2"/>
          <w:sz w:val="21"/>
          <w:szCs w:val="21"/>
        </w:rPr>
        <w:t>发改委</w:t>
      </w:r>
      <w:proofErr w:type="gramEnd"/>
      <w:r>
        <w:rPr>
          <w:rFonts w:ascii="宋体" w:eastAsia="宋体" w:hAnsi="宋体" w:cs="宋体" w:hint="eastAsia"/>
          <w:kern w:val="2"/>
          <w:sz w:val="21"/>
          <w:szCs w:val="21"/>
        </w:rPr>
        <w:t>总牵头，但各部门工作内容存在重叠交叉，统计标准不一，涉及的规划、土地、财税等政策及重大问题缺乏统筹调度，影响了腾退土地再利用工作推进，特别是一些长期未能解决的顽固性问题未能部署整改，导致部分已腾退地块一直处于闲置状态。同时，对</w:t>
      </w:r>
      <w:r w:rsidR="00433344">
        <w:rPr>
          <w:rFonts w:ascii="宋体" w:eastAsia="宋体" w:hAnsi="宋体" w:cs="宋体" w:hint="eastAsia"/>
          <w:kern w:val="2"/>
          <w:sz w:val="21"/>
          <w:szCs w:val="21"/>
        </w:rPr>
        <w:t>“</w:t>
      </w:r>
      <w:r>
        <w:rPr>
          <w:rFonts w:ascii="宋体" w:eastAsia="宋体" w:hAnsi="宋体" w:cs="宋体" w:hint="eastAsia"/>
          <w:kern w:val="2"/>
          <w:sz w:val="21"/>
          <w:szCs w:val="21"/>
        </w:rPr>
        <w:t>疏整促</w:t>
      </w:r>
      <w:r w:rsidR="00433344">
        <w:rPr>
          <w:rFonts w:ascii="宋体" w:eastAsia="宋体" w:hAnsi="宋体" w:cs="宋体" w:hint="eastAsia"/>
          <w:kern w:val="2"/>
          <w:sz w:val="21"/>
          <w:szCs w:val="21"/>
        </w:rPr>
        <w:t>”</w:t>
      </w:r>
      <w:r>
        <w:rPr>
          <w:rFonts w:ascii="宋体" w:eastAsia="宋体" w:hAnsi="宋体" w:cs="宋体" w:hint="eastAsia"/>
          <w:kern w:val="2"/>
          <w:sz w:val="21"/>
          <w:szCs w:val="21"/>
        </w:rPr>
        <w:t>工作进度、质量及相关政策反馈等，缺少职责明确、赏罚分明的监督考核机制，不能及时有效地对区政府相关部门、乡镇政府及土地使用权利人进行监督考核。</w:t>
      </w:r>
    </w:p>
    <w:p w:rsidR="00973FBB" w:rsidRPr="00E821D7" w:rsidRDefault="00433344" w:rsidP="00433344">
      <w:pPr>
        <w:pStyle w:val="ac"/>
        <w:spacing w:beforeAutospacing="0" w:afterAutospacing="0" w:line="360" w:lineRule="auto"/>
        <w:jc w:val="both"/>
        <w:outlineLvl w:val="0"/>
        <w:rPr>
          <w:rFonts w:ascii="宋体" w:eastAsia="宋体" w:hAnsi="宋体" w:cs="宋体"/>
          <w:b/>
          <w:kern w:val="2"/>
          <w:sz w:val="28"/>
          <w:szCs w:val="28"/>
        </w:rPr>
      </w:pPr>
      <w:r>
        <w:rPr>
          <w:rFonts w:ascii="宋体" w:eastAsia="宋体" w:hAnsi="宋体" w:cs="宋体" w:hint="eastAsia"/>
          <w:b/>
          <w:kern w:val="2"/>
          <w:sz w:val="28"/>
          <w:szCs w:val="28"/>
        </w:rPr>
        <w:t xml:space="preserve">3 </w:t>
      </w:r>
      <w:r w:rsidR="008721DD" w:rsidRPr="00E821D7">
        <w:rPr>
          <w:rFonts w:ascii="宋体" w:eastAsia="宋体" w:hAnsi="宋体" w:cs="宋体" w:hint="eastAsia"/>
          <w:b/>
          <w:kern w:val="2"/>
          <w:sz w:val="28"/>
          <w:szCs w:val="28"/>
        </w:rPr>
        <w:t>国内腾退空间再利用典型做法及其启示</w:t>
      </w:r>
    </w:p>
    <w:p w:rsidR="00973FBB" w:rsidRPr="00E821D7" w:rsidRDefault="008721DD" w:rsidP="00433344">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3.1上海市腾退工业用地成功转型</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2011年底，上海市全市建设用地面积为2961平方公里，其中城市建设用地面积近2408平方公里。城市建设用地由居住用地、公共管理与公共服务用地、商服用地、工业用地等组成。上海市工业用地总量占城市建设用地面积的31.6%，约761</w:t>
      </w:r>
      <w:r w:rsidR="00433344">
        <w:rPr>
          <w:rFonts w:ascii="宋体" w:eastAsia="宋体" w:hAnsi="宋体" w:cs="宋体" w:hint="eastAsia"/>
          <w:kern w:val="2"/>
          <w:sz w:val="21"/>
          <w:szCs w:val="21"/>
        </w:rPr>
        <w:t>平方公里，</w:t>
      </w:r>
      <w:r>
        <w:rPr>
          <w:rFonts w:ascii="宋体" w:eastAsia="宋体" w:hAnsi="宋体" w:cs="宋体" w:hint="eastAsia"/>
          <w:kern w:val="2"/>
          <w:sz w:val="21"/>
          <w:szCs w:val="21"/>
        </w:rPr>
        <w:t>其中郊区工业用地占郊区城市建设用地总面积的36.4％，约670平方公里。上海市工业用地相比国外同等城市工业用地占比高出一倍，存在工业用地比例过高的问题。为了控制工业用地增长，新一轮上海总</w:t>
      </w:r>
      <w:proofErr w:type="gramStart"/>
      <w:r>
        <w:rPr>
          <w:rFonts w:ascii="宋体" w:eastAsia="宋体" w:hAnsi="宋体" w:cs="宋体" w:hint="eastAsia"/>
          <w:kern w:val="2"/>
          <w:sz w:val="21"/>
          <w:szCs w:val="21"/>
        </w:rPr>
        <w:t>规</w:t>
      </w:r>
      <w:proofErr w:type="gramEnd"/>
      <w:r>
        <w:rPr>
          <w:rFonts w:ascii="宋体" w:eastAsia="宋体" w:hAnsi="宋体" w:cs="宋体" w:hint="eastAsia"/>
          <w:kern w:val="2"/>
          <w:sz w:val="21"/>
          <w:szCs w:val="21"/>
        </w:rPr>
        <w:t>修编提出“建设用地零增长，工业用地减量化”。在政策层面，从宽松走向收紧。从1990年后期开始，</w:t>
      </w:r>
      <w:r w:rsidR="00433344" w:rsidRPr="00433344">
        <w:rPr>
          <w:rFonts w:ascii="宋体" w:eastAsia="宋体" w:hAnsi="宋体" w:cs="宋体" w:hint="eastAsia"/>
          <w:kern w:val="2"/>
          <w:sz w:val="21"/>
          <w:szCs w:val="21"/>
        </w:rPr>
        <w:t>上海市</w:t>
      </w:r>
      <w:r>
        <w:rPr>
          <w:rFonts w:ascii="宋体" w:eastAsia="宋体" w:hAnsi="宋体" w:cs="宋体" w:hint="eastAsia"/>
          <w:kern w:val="2"/>
          <w:sz w:val="21"/>
          <w:szCs w:val="21"/>
        </w:rPr>
        <w:t>逐步将工业用地性质进行更改，使其向零污染的居住用地、商服用地等转变。随着经济的发展，</w:t>
      </w:r>
      <w:r w:rsidR="00433344" w:rsidRPr="00433344">
        <w:rPr>
          <w:rFonts w:ascii="宋体" w:eastAsia="宋体" w:hAnsi="宋体" w:cs="宋体" w:hint="eastAsia"/>
          <w:kern w:val="2"/>
          <w:sz w:val="21"/>
          <w:szCs w:val="21"/>
        </w:rPr>
        <w:t>上海市</w:t>
      </w:r>
      <w:r>
        <w:rPr>
          <w:rFonts w:ascii="宋体" w:eastAsia="宋体" w:hAnsi="宋体" w:cs="宋体" w:hint="eastAsia"/>
          <w:kern w:val="2"/>
          <w:sz w:val="21"/>
          <w:szCs w:val="21"/>
        </w:rPr>
        <w:t>政府鼓励出台多种限制性的政策，对划拨等方式取得的土地利用方式进行限制，严控新增建筑，将以协议出让的经营性用地认定为无效，这些政策的出台大大压抑了市场的需求。随着时间的推移，上海市的文化创意产业逐步兴起，部分企业主</w:t>
      </w:r>
      <w:r w:rsidR="00433344">
        <w:rPr>
          <w:rFonts w:ascii="宋体" w:eastAsia="宋体" w:hAnsi="宋体" w:cs="宋体" w:hint="eastAsia"/>
          <w:kern w:val="2"/>
          <w:sz w:val="21"/>
          <w:szCs w:val="21"/>
        </w:rPr>
        <w:t>有意向</w:t>
      </w:r>
      <w:r>
        <w:rPr>
          <w:rFonts w:ascii="宋体" w:eastAsia="宋体" w:hAnsi="宋体" w:cs="宋体" w:hint="eastAsia"/>
          <w:kern w:val="2"/>
          <w:sz w:val="21"/>
          <w:szCs w:val="21"/>
        </w:rPr>
        <w:t>将存量工业用地上建筑物改造，让旧厂房焕然一新，成为能够</w:t>
      </w:r>
      <w:proofErr w:type="gramStart"/>
      <w:r>
        <w:rPr>
          <w:rFonts w:ascii="宋体" w:eastAsia="宋体" w:hAnsi="宋体" w:cs="宋体" w:hint="eastAsia"/>
          <w:kern w:val="2"/>
          <w:sz w:val="21"/>
          <w:szCs w:val="21"/>
        </w:rPr>
        <w:t>承担商</w:t>
      </w:r>
      <w:proofErr w:type="gramEnd"/>
      <w:r>
        <w:rPr>
          <w:rFonts w:ascii="宋体" w:eastAsia="宋体" w:hAnsi="宋体" w:cs="宋体" w:hint="eastAsia"/>
          <w:kern w:val="2"/>
          <w:sz w:val="21"/>
          <w:szCs w:val="21"/>
        </w:rPr>
        <w:t>服用途的新地点。这种方式将现有资源充分利用，很快得到政府的认可，“非正式更新”</w:t>
      </w:r>
      <w:r w:rsidR="00433344">
        <w:rPr>
          <w:rFonts w:ascii="宋体" w:eastAsia="宋体" w:hAnsi="宋体" w:cs="宋体" w:hint="eastAsia"/>
          <w:kern w:val="2"/>
          <w:sz w:val="21"/>
          <w:szCs w:val="21"/>
        </w:rPr>
        <w:t>应运</w:t>
      </w:r>
      <w:r>
        <w:rPr>
          <w:rFonts w:ascii="宋体" w:eastAsia="宋体" w:hAnsi="宋体" w:cs="宋体" w:hint="eastAsia"/>
          <w:kern w:val="2"/>
          <w:sz w:val="21"/>
          <w:szCs w:val="21"/>
        </w:rPr>
        <w:t>而生，各种政策也随之为存量工业用地的转型提供便利。但这种“非正式”的模式，需要更好</w:t>
      </w:r>
      <w:r>
        <w:rPr>
          <w:rFonts w:ascii="宋体" w:eastAsia="宋体" w:hAnsi="宋体" w:cs="宋体" w:hint="eastAsia"/>
          <w:kern w:val="2"/>
          <w:sz w:val="21"/>
          <w:szCs w:val="21"/>
        </w:rPr>
        <w:lastRenderedPageBreak/>
        <w:t>地权衡效果与风险，在实际操作中不涉及相关管理部门。2013年</w:t>
      </w:r>
      <w:r w:rsidR="00433344">
        <w:rPr>
          <w:rFonts w:ascii="宋体" w:eastAsia="宋体" w:hAnsi="宋体" w:cs="宋体" w:hint="eastAsia"/>
          <w:kern w:val="2"/>
          <w:sz w:val="21"/>
          <w:szCs w:val="21"/>
        </w:rPr>
        <w:t>上海市</w:t>
      </w:r>
      <w:r>
        <w:rPr>
          <w:rFonts w:ascii="宋体" w:eastAsia="宋体" w:hAnsi="宋体" w:cs="宋体" w:hint="eastAsia"/>
          <w:kern w:val="2"/>
          <w:sz w:val="21"/>
          <w:szCs w:val="21"/>
        </w:rPr>
        <w:t>制订《关于增设研发总部类用地相关工作的试点意见》，2016</w:t>
      </w:r>
      <w:r w:rsidR="00433344">
        <w:rPr>
          <w:rFonts w:ascii="宋体" w:eastAsia="宋体" w:hAnsi="宋体" w:cs="宋体" w:hint="eastAsia"/>
          <w:kern w:val="2"/>
          <w:sz w:val="21"/>
          <w:szCs w:val="21"/>
        </w:rPr>
        <w:t>年制订《关于本市盘活存量工业用地的实施办法（试行）》，</w:t>
      </w:r>
      <w:r>
        <w:rPr>
          <w:rFonts w:ascii="宋体" w:eastAsia="宋体" w:hAnsi="宋体" w:cs="宋体" w:hint="eastAsia"/>
          <w:kern w:val="2"/>
          <w:sz w:val="21"/>
          <w:szCs w:val="21"/>
        </w:rPr>
        <w:t>对现有存量工业工地进行转型盘活。</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上海市国有工业用地转型成功有以下几方面原因：一是因地制宜编制地区土地利用规划。明确区域土地性质，明确土地用途，根据地区发展特点编制土地利用规划，结合区域重点发展项目，制定产业禁限目录。加强对区域土地的管理，及时了解区域土地发展动向，实时监测土地建设情况，保证土地的有效利用。二是建立企业准入标准。在项目落地前，对项目进行充分考评，审核项目的前期规划设计、中期进展，严控后期的违规行为。在前期审核过程中，要充分考虑该项目落地的合理性及其后期的可持续发展性，并依据工业用地的投入产出比、容积率、绿</w:t>
      </w:r>
      <w:r w:rsidR="00433344">
        <w:rPr>
          <w:rFonts w:ascii="宋体" w:eastAsia="宋体" w:hAnsi="宋体" w:cs="宋体" w:hint="eastAsia"/>
          <w:kern w:val="2"/>
          <w:sz w:val="21"/>
          <w:szCs w:val="21"/>
        </w:rPr>
        <w:t>化率等多项指标对项目进行可行性分析。三是建立健全土地信息资源</w:t>
      </w:r>
      <w:r>
        <w:rPr>
          <w:rFonts w:ascii="宋体" w:eastAsia="宋体" w:hAnsi="宋体" w:cs="宋体" w:hint="eastAsia"/>
          <w:kern w:val="2"/>
          <w:sz w:val="21"/>
          <w:szCs w:val="21"/>
        </w:rPr>
        <w:t>共享机制。由统一部门将所负责区域内土地信息汇总，并对不同来源的土地信息进行核查，保证数据的准确性。将汇总的信息整理、落图，让土地信息在共享系统中实时显示，包括地块的坐标、面积、权属、土地性质等相关信息。四是实行工业用地全生命周期管理。土地受让人在取得土地后应缴纳一定数额的保证金，保证其项目进展合</w:t>
      </w:r>
      <w:proofErr w:type="gramStart"/>
      <w:r>
        <w:rPr>
          <w:rFonts w:ascii="宋体" w:eastAsia="宋体" w:hAnsi="宋体" w:cs="宋体" w:hint="eastAsia"/>
          <w:kern w:val="2"/>
          <w:sz w:val="21"/>
          <w:szCs w:val="21"/>
        </w:rPr>
        <w:t>规</w:t>
      </w:r>
      <w:proofErr w:type="gramEnd"/>
      <w:r>
        <w:rPr>
          <w:rFonts w:ascii="宋体" w:eastAsia="宋体" w:hAnsi="宋体" w:cs="宋体" w:hint="eastAsia"/>
          <w:kern w:val="2"/>
          <w:sz w:val="21"/>
          <w:szCs w:val="21"/>
        </w:rPr>
        <w:t>且不违背原有土地用途。土地受让人取得土地后应在半年内利用该地块进行建设；对于分期建设项目，最长期限可放宽至一年，如有违约，将责令其进行整改。五是加强土地的后续监管。土地出让后，由专门的监管部门对土地的后续利用合</w:t>
      </w:r>
      <w:proofErr w:type="gramStart"/>
      <w:r>
        <w:rPr>
          <w:rFonts w:ascii="宋体" w:eastAsia="宋体" w:hAnsi="宋体" w:cs="宋体" w:hint="eastAsia"/>
          <w:kern w:val="2"/>
          <w:sz w:val="21"/>
          <w:szCs w:val="21"/>
        </w:rPr>
        <w:t>规</w:t>
      </w:r>
      <w:proofErr w:type="gramEnd"/>
      <w:r>
        <w:rPr>
          <w:rFonts w:ascii="宋体" w:eastAsia="宋体" w:hAnsi="宋体" w:cs="宋体" w:hint="eastAsia"/>
          <w:kern w:val="2"/>
          <w:sz w:val="21"/>
          <w:szCs w:val="21"/>
        </w:rPr>
        <w:t>性</w:t>
      </w:r>
      <w:r w:rsidR="00433344">
        <w:rPr>
          <w:rFonts w:ascii="宋体" w:eastAsia="宋体" w:hAnsi="宋体" w:cs="宋体" w:hint="eastAsia"/>
          <w:kern w:val="2"/>
          <w:sz w:val="21"/>
          <w:szCs w:val="21"/>
        </w:rPr>
        <w:t>进行巡查，定期检查其建设情况，年终应对其产出效益进行核算，保证</w:t>
      </w:r>
      <w:r>
        <w:rPr>
          <w:rFonts w:ascii="宋体" w:eastAsia="宋体" w:hAnsi="宋体" w:cs="宋体" w:hint="eastAsia"/>
          <w:kern w:val="2"/>
          <w:sz w:val="21"/>
          <w:szCs w:val="21"/>
        </w:rPr>
        <w:t>相应指标达到预期。六是探索工业用地弹性出让年限。由于经济发展速度的加快，一些产业已无法满足人民日益增长的美好生活需要，需要对原有产业进行转型升级。上海市探索弹性出让年限，降低土地出让金，使土地利用更加高效。七是建立集约用地激励机制。对建成后验收合格的企业给予相应优惠政策，对重大项目落地企业给予税收优惠，鼓励符合区域发展定位的企业落地。</w:t>
      </w:r>
    </w:p>
    <w:p w:rsidR="00973FBB" w:rsidRPr="00E821D7" w:rsidRDefault="008721DD" w:rsidP="00433344">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3.2</w:t>
      </w:r>
      <w:r w:rsidR="00433344">
        <w:rPr>
          <w:rFonts w:ascii="宋体" w:eastAsia="宋体" w:hAnsi="宋体" w:cs="宋体" w:hint="eastAsia"/>
          <w:b/>
          <w:kern w:val="2"/>
          <w:sz w:val="21"/>
          <w:szCs w:val="21"/>
        </w:rPr>
        <w:t xml:space="preserve"> 北京市</w:t>
      </w:r>
      <w:proofErr w:type="gramStart"/>
      <w:r w:rsidRPr="00E821D7">
        <w:rPr>
          <w:rFonts w:ascii="宋体" w:eastAsia="宋体" w:hAnsi="宋体" w:cs="宋体" w:hint="eastAsia"/>
          <w:b/>
          <w:kern w:val="2"/>
          <w:sz w:val="21"/>
          <w:szCs w:val="21"/>
        </w:rPr>
        <w:t>大兴区</w:t>
      </w:r>
      <w:proofErr w:type="gramEnd"/>
      <w:r w:rsidRPr="00E821D7">
        <w:rPr>
          <w:rFonts w:ascii="宋体" w:eastAsia="宋体" w:hAnsi="宋体" w:cs="宋体" w:hint="eastAsia"/>
          <w:b/>
          <w:kern w:val="2"/>
          <w:sz w:val="21"/>
          <w:szCs w:val="21"/>
        </w:rPr>
        <w:t>腾退集体建设用地再利用</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针对集体建设用地再利用难的问题，</w:t>
      </w:r>
      <w:r w:rsidR="00433344">
        <w:rPr>
          <w:rFonts w:ascii="宋体" w:eastAsia="宋体" w:hAnsi="宋体" w:cs="宋体" w:hint="eastAsia"/>
          <w:kern w:val="2"/>
          <w:sz w:val="21"/>
          <w:szCs w:val="21"/>
        </w:rPr>
        <w:t>北京市</w:t>
      </w:r>
      <w:proofErr w:type="gramStart"/>
      <w:r>
        <w:rPr>
          <w:rFonts w:ascii="宋体" w:eastAsia="宋体" w:hAnsi="宋体" w:cs="宋体" w:hint="eastAsia"/>
          <w:kern w:val="2"/>
          <w:sz w:val="21"/>
          <w:szCs w:val="21"/>
        </w:rPr>
        <w:t>大兴区</w:t>
      </w:r>
      <w:proofErr w:type="gramEnd"/>
      <w:r>
        <w:rPr>
          <w:rFonts w:ascii="宋体" w:eastAsia="宋体" w:hAnsi="宋体" w:cs="宋体" w:hint="eastAsia"/>
          <w:kern w:val="2"/>
          <w:sz w:val="21"/>
          <w:szCs w:val="21"/>
        </w:rPr>
        <w:t>积极推进集体建设用地入市改革试点，围绕“五个探索”（主体、途径、调节金、供地方式、权能完善），建立了“同权同价、流转顺畅、收益共享”的入市制度，形成了“政府引导、农民主体、联营联建、收益共享”的工作格局，有力促进了区域农民自主城镇化、低成本城镇化、城乡融合城镇化。一是抓住</w:t>
      </w:r>
      <w:r w:rsidR="00433344" w:rsidRPr="00433344">
        <w:rPr>
          <w:rFonts w:ascii="宋体" w:eastAsia="宋体" w:hAnsi="宋体" w:cs="宋体" w:hint="eastAsia"/>
          <w:kern w:val="2"/>
          <w:sz w:val="21"/>
          <w:szCs w:val="21"/>
        </w:rPr>
        <w:t>经济</w:t>
      </w:r>
      <w:r>
        <w:rPr>
          <w:rFonts w:ascii="宋体" w:eastAsia="宋体" w:hAnsi="宋体" w:cs="宋体" w:hint="eastAsia"/>
          <w:kern w:val="2"/>
          <w:sz w:val="21"/>
          <w:szCs w:val="21"/>
        </w:rPr>
        <w:t>社会发展的契机，推动城乡结合部改造，加快社会经济转型。二是探索农村集体经济入股模式，引入外来资本，探索集体经济发展新路线，建设新农村。三是鼓励金融融资机构参与农村经济发展，将农村集体经营性建设用地抵押贷款，推动农村产业发展。四是治理农村养</w:t>
      </w:r>
      <w:r>
        <w:rPr>
          <w:rFonts w:ascii="宋体" w:eastAsia="宋体" w:hAnsi="宋体" w:cs="宋体" w:hint="eastAsia"/>
          <w:kern w:val="2"/>
          <w:sz w:val="21"/>
          <w:szCs w:val="21"/>
        </w:rPr>
        <w:lastRenderedPageBreak/>
        <w:t>殖小区出租大院，腾退后统一管理</w:t>
      </w:r>
      <w:r w:rsidR="00433344">
        <w:rPr>
          <w:rFonts w:ascii="宋体" w:eastAsia="宋体" w:hAnsi="宋体" w:cs="宋体" w:hint="eastAsia"/>
          <w:kern w:val="2"/>
          <w:sz w:val="21"/>
          <w:szCs w:val="21"/>
        </w:rPr>
        <w:t>、</w:t>
      </w:r>
      <w:r>
        <w:rPr>
          <w:rFonts w:ascii="宋体" w:eastAsia="宋体" w:hAnsi="宋体" w:cs="宋体" w:hint="eastAsia"/>
          <w:kern w:val="2"/>
          <w:sz w:val="21"/>
          <w:szCs w:val="21"/>
        </w:rPr>
        <w:t>统一利用，促进产业升级，推动产业发展。五是平衡各方利益，保证村民、集体、投资者、联营公司</w:t>
      </w:r>
      <w:r w:rsidR="00433344">
        <w:rPr>
          <w:rFonts w:ascii="宋体" w:eastAsia="宋体" w:hAnsi="宋体" w:cs="宋体" w:hint="eastAsia"/>
          <w:kern w:val="2"/>
          <w:sz w:val="21"/>
          <w:szCs w:val="21"/>
        </w:rPr>
        <w:t>、政府各方之间的利益，降低拆违成本，有效利用有限的资源，尽可能</w:t>
      </w:r>
      <w:r>
        <w:rPr>
          <w:rFonts w:ascii="宋体" w:eastAsia="宋体" w:hAnsi="宋体" w:cs="宋体" w:hint="eastAsia"/>
          <w:kern w:val="2"/>
          <w:sz w:val="21"/>
          <w:szCs w:val="21"/>
        </w:rPr>
        <w:t>地创造更多的价值。</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proofErr w:type="gramStart"/>
      <w:r>
        <w:rPr>
          <w:rFonts w:ascii="宋体" w:eastAsia="宋体" w:hAnsi="宋体" w:cs="宋体" w:hint="eastAsia"/>
          <w:kern w:val="2"/>
          <w:sz w:val="21"/>
          <w:szCs w:val="21"/>
        </w:rPr>
        <w:t>大兴</w:t>
      </w:r>
      <w:r w:rsidR="00433344">
        <w:rPr>
          <w:rFonts w:ascii="宋体" w:eastAsia="宋体" w:hAnsi="宋体" w:cs="宋体" w:hint="eastAsia"/>
          <w:kern w:val="2"/>
          <w:sz w:val="21"/>
          <w:szCs w:val="21"/>
        </w:rPr>
        <w:t>区</w:t>
      </w:r>
      <w:proofErr w:type="gramEnd"/>
      <w:r>
        <w:rPr>
          <w:rFonts w:ascii="宋体" w:eastAsia="宋体" w:hAnsi="宋体" w:cs="宋体" w:hint="eastAsia"/>
          <w:kern w:val="2"/>
          <w:sz w:val="21"/>
          <w:szCs w:val="21"/>
        </w:rPr>
        <w:t>集体建设用地得到再利用有以下几方面经验</w:t>
      </w:r>
      <w:r w:rsidR="00433344">
        <w:rPr>
          <w:rFonts w:ascii="宋体" w:eastAsia="宋体" w:hAnsi="宋体" w:cs="宋体" w:hint="eastAsia"/>
          <w:kern w:val="2"/>
          <w:sz w:val="21"/>
          <w:szCs w:val="21"/>
        </w:rPr>
        <w:t>可资</w:t>
      </w:r>
      <w:r>
        <w:rPr>
          <w:rFonts w:ascii="宋体" w:eastAsia="宋体" w:hAnsi="宋体" w:cs="宋体" w:hint="eastAsia"/>
          <w:kern w:val="2"/>
          <w:sz w:val="21"/>
          <w:szCs w:val="21"/>
        </w:rPr>
        <w:t>借鉴：一是坚持规划先行。综合考虑已腾退的集体建设用地及实施中的典型问题，在减量化的基础上，因地制宜编制镇村规划，通过区、镇、村三级</w:t>
      </w:r>
      <w:proofErr w:type="gramStart"/>
      <w:r>
        <w:rPr>
          <w:rFonts w:ascii="宋体" w:eastAsia="宋体" w:hAnsi="宋体" w:cs="宋体" w:hint="eastAsia"/>
          <w:kern w:val="2"/>
          <w:sz w:val="21"/>
          <w:szCs w:val="21"/>
        </w:rPr>
        <w:t>规划全</w:t>
      </w:r>
      <w:proofErr w:type="gramEnd"/>
      <w:r>
        <w:rPr>
          <w:rFonts w:ascii="宋体" w:eastAsia="宋体" w:hAnsi="宋体" w:cs="宋体" w:hint="eastAsia"/>
          <w:kern w:val="2"/>
          <w:sz w:val="21"/>
          <w:szCs w:val="21"/>
        </w:rPr>
        <w:t>覆盖，打造规划实施组织载体。二是实行镇级统筹。由镇政府对集体建设用地进行统筹，按照构建“高精尖”产业要求，集中重新配置建设用地指标，促进土地集约利用，保证集体利益，推动高质量发展。同时加强集体经营性建设用地产业规划、功能承接及扶持政策研究。三是规范村集体建设用地登记备案制度。由镇政府对村集体各土地使用权人进行核实备案，村集体基础设施用地由村委会出具证明材料统一登记。四是创新集体建设用地融资方式。以集体建设用地未来收益为担保进行抵押，获取银行贷款，缓解资金压力，保证项目落地。五是探索新的开发经营模式。镇级层面成立土地联营公司，将传统集体经济组织进行公司化改造，实现“土地变资产、农民变股东”。</w:t>
      </w:r>
    </w:p>
    <w:p w:rsidR="00973FBB" w:rsidRPr="00E821D7" w:rsidRDefault="00433344" w:rsidP="00433344">
      <w:pPr>
        <w:pStyle w:val="ac"/>
        <w:spacing w:beforeAutospacing="0" w:afterAutospacing="0" w:line="360" w:lineRule="auto"/>
        <w:jc w:val="both"/>
        <w:outlineLvl w:val="0"/>
        <w:rPr>
          <w:rFonts w:ascii="宋体" w:eastAsia="宋体" w:hAnsi="宋体" w:cs="宋体"/>
          <w:b/>
          <w:kern w:val="2"/>
          <w:sz w:val="28"/>
          <w:szCs w:val="28"/>
        </w:rPr>
      </w:pPr>
      <w:bookmarkStart w:id="16" w:name="_Toc3712"/>
      <w:bookmarkStart w:id="17" w:name="_Toc13567"/>
      <w:bookmarkStart w:id="18" w:name="OLE_LINK4"/>
      <w:bookmarkStart w:id="19" w:name="OLE_LINK5"/>
      <w:bookmarkStart w:id="20" w:name="OLE_LINK3"/>
      <w:bookmarkEnd w:id="5"/>
      <w:bookmarkEnd w:id="6"/>
      <w:r>
        <w:rPr>
          <w:rFonts w:ascii="宋体" w:eastAsia="宋体" w:hAnsi="宋体" w:cs="宋体" w:hint="eastAsia"/>
          <w:b/>
          <w:kern w:val="2"/>
          <w:sz w:val="28"/>
          <w:szCs w:val="28"/>
        </w:rPr>
        <w:t xml:space="preserve">4 </w:t>
      </w:r>
      <w:r w:rsidR="008721DD" w:rsidRPr="00E821D7">
        <w:rPr>
          <w:rFonts w:ascii="宋体" w:eastAsia="宋体" w:hAnsi="宋体" w:cs="宋体" w:hint="eastAsia"/>
          <w:b/>
          <w:kern w:val="2"/>
          <w:sz w:val="28"/>
          <w:szCs w:val="28"/>
        </w:rPr>
        <w:t>顺义区推进腾退空间再利用的几点思考</w:t>
      </w:r>
    </w:p>
    <w:p w:rsidR="00973FBB" w:rsidRDefault="008721DD">
      <w:pPr>
        <w:pStyle w:val="ac"/>
        <w:wordWrap w:val="0"/>
        <w:spacing w:beforeAutospacing="0" w:afterAutospacing="0" w:line="360" w:lineRule="auto"/>
        <w:ind w:firstLineChars="200" w:firstLine="420"/>
        <w:jc w:val="both"/>
        <w:rPr>
          <w:rFonts w:ascii="宋体" w:eastAsia="宋体" w:hAnsi="宋体" w:cs="宋体"/>
          <w:kern w:val="2"/>
          <w:sz w:val="21"/>
          <w:szCs w:val="21"/>
        </w:rPr>
      </w:pPr>
      <w:bookmarkStart w:id="21" w:name="OLE_LINK63"/>
      <w:bookmarkStart w:id="22" w:name="OLE_LINK62"/>
      <w:bookmarkStart w:id="23" w:name="OLE_LINK61"/>
      <w:bookmarkEnd w:id="16"/>
      <w:r>
        <w:rPr>
          <w:rFonts w:ascii="宋体" w:eastAsia="宋体" w:hAnsi="宋体" w:cs="宋体" w:hint="eastAsia"/>
          <w:kern w:val="2"/>
          <w:sz w:val="21"/>
          <w:szCs w:val="21"/>
        </w:rPr>
        <w:t>上海市国有工业用地成功转型</w:t>
      </w:r>
      <w:bookmarkEnd w:id="21"/>
      <w:bookmarkEnd w:id="22"/>
      <w:bookmarkEnd w:id="23"/>
      <w:r>
        <w:rPr>
          <w:rFonts w:ascii="宋体" w:eastAsia="宋体" w:hAnsi="宋体" w:cs="宋体" w:hint="eastAsia"/>
          <w:kern w:val="2"/>
          <w:sz w:val="21"/>
          <w:szCs w:val="21"/>
        </w:rPr>
        <w:t>是国内最具有代表性的更新方式，其模式规范，政府也出台了一系列的政策文件顺应产业发展导向。上海的国有工业用地在转型中不断探索新</w:t>
      </w:r>
      <w:r w:rsidR="00433344">
        <w:rPr>
          <w:rFonts w:ascii="宋体" w:eastAsia="宋体" w:hAnsi="宋体" w:cs="宋体" w:hint="eastAsia"/>
          <w:kern w:val="2"/>
          <w:sz w:val="21"/>
          <w:szCs w:val="21"/>
        </w:rPr>
        <w:t>的发展模式，创新了体制机制，规范了审批程序，对符合条件的项目</w:t>
      </w:r>
      <w:r>
        <w:rPr>
          <w:rFonts w:ascii="宋体" w:eastAsia="宋体" w:hAnsi="宋体" w:cs="宋体" w:hint="eastAsia"/>
          <w:kern w:val="2"/>
          <w:sz w:val="21"/>
          <w:szCs w:val="21"/>
        </w:rPr>
        <w:t>不断优化审批流程，保证项目落地。</w:t>
      </w:r>
      <w:r w:rsidR="00433344">
        <w:rPr>
          <w:rFonts w:ascii="宋体" w:eastAsia="宋体" w:hAnsi="宋体" w:cs="宋体" w:hint="eastAsia"/>
          <w:kern w:val="2"/>
          <w:sz w:val="21"/>
          <w:szCs w:val="21"/>
        </w:rPr>
        <w:t>北京市</w:t>
      </w:r>
      <w:proofErr w:type="gramStart"/>
      <w:r>
        <w:rPr>
          <w:rFonts w:ascii="宋体" w:eastAsia="宋体" w:hAnsi="宋体" w:cs="宋体" w:hint="eastAsia"/>
          <w:kern w:val="2"/>
          <w:sz w:val="21"/>
          <w:szCs w:val="21"/>
        </w:rPr>
        <w:t>大兴</w:t>
      </w:r>
      <w:r w:rsidR="00433344">
        <w:rPr>
          <w:rFonts w:ascii="宋体" w:eastAsia="宋体" w:hAnsi="宋体" w:cs="宋体" w:hint="eastAsia"/>
          <w:kern w:val="2"/>
          <w:sz w:val="21"/>
          <w:szCs w:val="21"/>
        </w:rPr>
        <w:t>区</w:t>
      </w:r>
      <w:proofErr w:type="gramEnd"/>
      <w:r>
        <w:rPr>
          <w:rFonts w:ascii="宋体" w:eastAsia="宋体" w:hAnsi="宋体" w:cs="宋体" w:hint="eastAsia"/>
          <w:kern w:val="2"/>
          <w:sz w:val="21"/>
          <w:szCs w:val="21"/>
        </w:rPr>
        <w:t>试点打开了集体经营性建设用地整治、建设和运营的金融参与通道，实现了金融资本全程参与，有效破解了因权能不完善而引发的“不能抵押、贷款较低”问题，同时也让集体经营性建设用地的资产价值和市场属性得到充分体现，极大地激发了农村土地市场活力。顺义区在腾退空间再利用的过程中，应吸取上海</w:t>
      </w:r>
      <w:r w:rsidR="00433344">
        <w:rPr>
          <w:rFonts w:ascii="宋体" w:eastAsia="宋体" w:hAnsi="宋体" w:cs="宋体" w:hint="eastAsia"/>
          <w:kern w:val="2"/>
          <w:sz w:val="21"/>
          <w:szCs w:val="21"/>
        </w:rPr>
        <w:t>市</w:t>
      </w:r>
      <w:r>
        <w:rPr>
          <w:rFonts w:ascii="宋体" w:eastAsia="宋体" w:hAnsi="宋体" w:cs="宋体" w:hint="eastAsia"/>
          <w:kern w:val="2"/>
          <w:sz w:val="21"/>
          <w:szCs w:val="21"/>
        </w:rPr>
        <w:t>及</w:t>
      </w:r>
      <w:proofErr w:type="gramStart"/>
      <w:r>
        <w:rPr>
          <w:rFonts w:ascii="宋体" w:eastAsia="宋体" w:hAnsi="宋体" w:cs="宋体" w:hint="eastAsia"/>
          <w:kern w:val="2"/>
          <w:sz w:val="21"/>
          <w:szCs w:val="21"/>
        </w:rPr>
        <w:t>大兴</w:t>
      </w:r>
      <w:r w:rsidR="00433344">
        <w:rPr>
          <w:rFonts w:ascii="宋体" w:eastAsia="宋体" w:hAnsi="宋体" w:cs="宋体" w:hint="eastAsia"/>
          <w:kern w:val="2"/>
          <w:sz w:val="21"/>
          <w:szCs w:val="21"/>
        </w:rPr>
        <w:t>区</w:t>
      </w:r>
      <w:proofErr w:type="gramEnd"/>
      <w:r>
        <w:rPr>
          <w:rFonts w:ascii="宋体" w:eastAsia="宋体" w:hAnsi="宋体" w:cs="宋体" w:hint="eastAsia"/>
          <w:kern w:val="2"/>
          <w:sz w:val="21"/>
          <w:szCs w:val="21"/>
        </w:rPr>
        <w:t>的经验，探索符合本区实际的工作方案。</w:t>
      </w:r>
    </w:p>
    <w:p w:rsidR="00973FBB" w:rsidRPr="00E821D7" w:rsidRDefault="008721DD" w:rsidP="00433344">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4.1统筹兼顾，协调推进</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bookmarkStart w:id="24" w:name="_Toc15877"/>
      <w:bookmarkEnd w:id="17"/>
      <w:r>
        <w:rPr>
          <w:rFonts w:ascii="宋体" w:eastAsia="宋体" w:hAnsi="宋体" w:cs="宋体" w:hint="eastAsia"/>
          <w:kern w:val="2"/>
          <w:sz w:val="21"/>
          <w:szCs w:val="21"/>
        </w:rPr>
        <w:t>（1）</w:t>
      </w:r>
      <w:r w:rsidR="008721DD">
        <w:rPr>
          <w:rFonts w:ascii="宋体" w:eastAsia="宋体" w:hAnsi="宋体" w:cs="宋体" w:hint="eastAsia"/>
          <w:kern w:val="2"/>
          <w:sz w:val="21"/>
          <w:szCs w:val="21"/>
        </w:rPr>
        <w:t>成立区级层面腾退空间再利用工作小组。由</w:t>
      </w:r>
      <w:proofErr w:type="gramStart"/>
      <w:r w:rsidR="008721DD">
        <w:rPr>
          <w:rFonts w:ascii="宋体" w:eastAsia="宋体" w:hAnsi="宋体" w:cs="宋体" w:hint="eastAsia"/>
          <w:kern w:val="2"/>
          <w:sz w:val="21"/>
          <w:szCs w:val="21"/>
        </w:rPr>
        <w:t>区发改委</w:t>
      </w:r>
      <w:proofErr w:type="gramEnd"/>
      <w:r w:rsidR="008721DD">
        <w:rPr>
          <w:rFonts w:ascii="宋体" w:eastAsia="宋体" w:hAnsi="宋体" w:cs="宋体" w:hint="eastAsia"/>
          <w:kern w:val="2"/>
          <w:sz w:val="21"/>
          <w:szCs w:val="21"/>
        </w:rPr>
        <w:t>、经信委、</w:t>
      </w:r>
      <w:proofErr w:type="gramStart"/>
      <w:r w:rsidR="008721DD">
        <w:rPr>
          <w:rFonts w:ascii="宋体" w:eastAsia="宋体" w:hAnsi="宋体" w:cs="宋体" w:hint="eastAsia"/>
          <w:kern w:val="2"/>
          <w:sz w:val="21"/>
          <w:szCs w:val="21"/>
        </w:rPr>
        <w:t>规</w:t>
      </w:r>
      <w:proofErr w:type="gramEnd"/>
      <w:r w:rsidR="008721DD">
        <w:rPr>
          <w:rFonts w:ascii="宋体" w:eastAsia="宋体" w:hAnsi="宋体" w:cs="宋体" w:hint="eastAsia"/>
          <w:kern w:val="2"/>
          <w:sz w:val="21"/>
          <w:szCs w:val="21"/>
        </w:rPr>
        <w:t>土委、商委、国资委等相关职能部门组成。工作小组统筹指导全区腾退土地再利用工作，通过制定系统的管理制度和运行机制，推进高精尖项目落地，确保规划、土地、财税政策的落实，保障腾退土地再利用工作顺利进行。</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（2）</w:t>
      </w:r>
      <w:r w:rsidR="008721DD">
        <w:rPr>
          <w:rFonts w:ascii="宋体" w:eastAsia="宋体" w:hAnsi="宋体" w:cs="宋体" w:hint="eastAsia"/>
          <w:kern w:val="2"/>
          <w:sz w:val="21"/>
          <w:szCs w:val="21"/>
        </w:rPr>
        <w:t>完善工作机制，指导土地再利用。</w:t>
      </w:r>
      <w:proofErr w:type="gramStart"/>
      <w:r w:rsidR="008721DD">
        <w:rPr>
          <w:rFonts w:ascii="宋体" w:eastAsia="宋体" w:hAnsi="宋体" w:cs="宋体" w:hint="eastAsia"/>
          <w:kern w:val="2"/>
          <w:sz w:val="21"/>
          <w:szCs w:val="21"/>
        </w:rPr>
        <w:t>定期由</w:t>
      </w:r>
      <w:proofErr w:type="gramEnd"/>
      <w:r w:rsidR="008721DD">
        <w:rPr>
          <w:rFonts w:ascii="宋体" w:eastAsia="宋体" w:hAnsi="宋体" w:cs="宋体" w:hint="eastAsia"/>
          <w:kern w:val="2"/>
          <w:sz w:val="21"/>
          <w:szCs w:val="21"/>
        </w:rPr>
        <w:t>工作小组召集各部门召开联席会议，针对近期工作中出现的重</w:t>
      </w:r>
      <w:r>
        <w:rPr>
          <w:rFonts w:ascii="宋体" w:eastAsia="宋体" w:hAnsi="宋体" w:cs="宋体" w:hint="eastAsia"/>
          <w:kern w:val="2"/>
          <w:sz w:val="21"/>
          <w:szCs w:val="21"/>
        </w:rPr>
        <w:t>点</w:t>
      </w:r>
      <w:r w:rsidR="008721DD">
        <w:rPr>
          <w:rFonts w:ascii="宋体" w:eastAsia="宋体" w:hAnsi="宋体" w:cs="宋体" w:hint="eastAsia"/>
          <w:kern w:val="2"/>
          <w:sz w:val="21"/>
          <w:szCs w:val="21"/>
        </w:rPr>
        <w:t>、难点问题进行研究分析，对重大项目落地进展及时跟踪汇报，对</w:t>
      </w:r>
      <w:r w:rsidR="008721DD">
        <w:rPr>
          <w:rFonts w:ascii="宋体" w:eastAsia="宋体" w:hAnsi="宋体" w:cs="宋体" w:hint="eastAsia"/>
          <w:kern w:val="2"/>
          <w:sz w:val="21"/>
          <w:szCs w:val="21"/>
        </w:rPr>
        <w:lastRenderedPageBreak/>
        <w:t>进展缓慢的项目实时记录监督，对遇到瓶颈的项目给予建议支持。工作小组还需定期向区委区政府汇报腾退土地利用情况进展，及时总结联席会议中讨论的重大事项，报区委区政府研究决定。</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（3）</w:t>
      </w:r>
      <w:r w:rsidR="008721DD">
        <w:rPr>
          <w:rFonts w:ascii="宋体" w:eastAsia="宋体" w:hAnsi="宋体" w:cs="宋体" w:hint="eastAsia"/>
          <w:kern w:val="2"/>
          <w:sz w:val="21"/>
          <w:szCs w:val="21"/>
        </w:rPr>
        <w:t>厘清工作内容，明确岗位职责。明确工作小组组成单位的职责，做到每一项工作均有负责部门，统筹推进腾退土地后续利用工作的开展。具体分工如表3所示。</w:t>
      </w:r>
    </w:p>
    <w:p w:rsidR="00973FBB" w:rsidRPr="00E821D7" w:rsidRDefault="008721DD">
      <w:pPr>
        <w:spacing w:line="360" w:lineRule="auto"/>
        <w:ind w:firstLineChars="1200" w:firstLine="2530"/>
        <w:rPr>
          <w:rFonts w:ascii="宋体" w:eastAsia="宋体" w:hAnsi="宋体" w:cs="宋体"/>
          <w:b/>
          <w:bCs/>
          <w:szCs w:val="21"/>
        </w:rPr>
      </w:pPr>
      <w:r w:rsidRPr="00E821D7">
        <w:rPr>
          <w:rFonts w:ascii="宋体" w:eastAsia="宋体" w:hAnsi="宋体" w:cs="宋体" w:hint="eastAsia"/>
          <w:b/>
          <w:bCs/>
          <w:szCs w:val="21"/>
        </w:rPr>
        <w:t>表</w:t>
      </w:r>
      <w:r w:rsidRPr="00E821D7">
        <w:rPr>
          <w:rFonts w:ascii="宋体" w:eastAsia="宋体" w:hAnsi="宋体" w:cs="宋体"/>
          <w:b/>
          <w:bCs/>
          <w:szCs w:val="21"/>
        </w:rPr>
        <w:t xml:space="preserve">3  </w:t>
      </w:r>
      <w:r w:rsidRPr="00E821D7">
        <w:rPr>
          <w:rFonts w:ascii="宋体" w:eastAsia="宋体" w:hAnsi="宋体" w:cs="宋体" w:hint="eastAsia"/>
          <w:b/>
          <w:bCs/>
          <w:szCs w:val="21"/>
        </w:rPr>
        <w:t>腾退空间推进责任清单</w:t>
      </w:r>
    </w:p>
    <w:tbl>
      <w:tblPr>
        <w:tblStyle w:val="af"/>
        <w:tblW w:w="9061" w:type="dxa"/>
        <w:jc w:val="center"/>
        <w:tblLayout w:type="fixed"/>
        <w:tblLook w:val="04A0" w:firstRow="1" w:lastRow="0" w:firstColumn="1" w:lastColumn="0" w:noHBand="0" w:noVBand="1"/>
      </w:tblPr>
      <w:tblGrid>
        <w:gridCol w:w="3574"/>
        <w:gridCol w:w="5487"/>
      </w:tblGrid>
      <w:tr w:rsidR="00973FBB">
        <w:trPr>
          <w:trHeight w:val="422"/>
          <w:jc w:val="center"/>
        </w:trPr>
        <w:tc>
          <w:tcPr>
            <w:tcW w:w="3574" w:type="dxa"/>
            <w:vAlign w:val="center"/>
          </w:tcPr>
          <w:p w:rsidR="00973FBB" w:rsidRDefault="008721DD">
            <w:pPr>
              <w:jc w:val="center"/>
              <w:rPr>
                <w:rFonts w:ascii="宋体" w:eastAsia="宋体" w:hAnsi="宋体" w:cs="宋体"/>
                <w:b/>
                <w:color w:val="000000"/>
                <w:kern w:val="0"/>
                <w:sz w:val="22"/>
              </w:rPr>
            </w:pPr>
            <w:r>
              <w:rPr>
                <w:rFonts w:ascii="宋体" w:eastAsia="宋体" w:hAnsi="宋体" w:cs="宋体" w:hint="eastAsia"/>
                <w:b/>
                <w:color w:val="000000"/>
                <w:kern w:val="0"/>
                <w:sz w:val="22"/>
              </w:rPr>
              <w:t>责任单位</w:t>
            </w:r>
          </w:p>
        </w:tc>
        <w:tc>
          <w:tcPr>
            <w:tcW w:w="5487" w:type="dxa"/>
            <w:vAlign w:val="center"/>
          </w:tcPr>
          <w:p w:rsidR="00973FBB" w:rsidRDefault="008721DD">
            <w:pPr>
              <w:jc w:val="center"/>
              <w:rPr>
                <w:rFonts w:ascii="宋体" w:eastAsia="宋体" w:hAnsi="宋体" w:cs="宋体"/>
                <w:b/>
                <w:color w:val="000000"/>
                <w:kern w:val="0"/>
                <w:sz w:val="22"/>
              </w:rPr>
            </w:pPr>
            <w:r>
              <w:rPr>
                <w:rFonts w:ascii="宋体" w:eastAsia="宋体" w:hAnsi="宋体" w:cs="宋体" w:hint="eastAsia"/>
                <w:b/>
                <w:color w:val="000000"/>
                <w:kern w:val="0"/>
                <w:sz w:val="22"/>
              </w:rPr>
              <w:t>具体内容</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工作小组</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编制全区腾退土地利用规划，审批项目，基础设施建设。</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区发展改革委</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参与编制本区土地利用总体规划和土地供应计划，</w:t>
            </w:r>
            <w:r>
              <w:rPr>
                <w:rFonts w:ascii="宋体" w:eastAsia="宋体" w:hAnsi="宋体" w:cs="宋体" w:hint="eastAsia"/>
                <w:color w:val="000000"/>
                <w:kern w:val="0"/>
                <w:sz w:val="22"/>
                <w:szCs w:val="20"/>
              </w:rPr>
              <w:t>统筹规划和综合协调产业发展，拟订综合性产业政策、区基础设施发展战略，组织</w:t>
            </w:r>
            <w:proofErr w:type="gramStart"/>
            <w:r>
              <w:rPr>
                <w:rFonts w:ascii="宋体" w:eastAsia="宋体" w:hAnsi="宋体" w:cs="宋体" w:hint="eastAsia"/>
                <w:color w:val="000000"/>
                <w:kern w:val="0"/>
                <w:sz w:val="22"/>
                <w:szCs w:val="20"/>
              </w:rPr>
              <w:t>编制区</w:t>
            </w:r>
            <w:proofErr w:type="gramEnd"/>
            <w:r>
              <w:rPr>
                <w:rFonts w:ascii="宋体" w:eastAsia="宋体" w:hAnsi="宋体" w:cs="宋体" w:hint="eastAsia"/>
                <w:color w:val="000000"/>
                <w:kern w:val="0"/>
                <w:sz w:val="22"/>
                <w:szCs w:val="20"/>
              </w:rPr>
              <w:t>主体功能区规划。</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区经济信息化委</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编制年度工业项目投资计划，提出再利用地块招商的行业要求、投资标准等准入条件。</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szCs w:val="20"/>
              </w:rPr>
            </w:pPr>
            <w:r>
              <w:rPr>
                <w:rFonts w:ascii="宋体" w:eastAsia="宋体" w:hAnsi="宋体" w:cs="宋体" w:hint="eastAsia"/>
                <w:color w:val="000000"/>
                <w:kern w:val="0"/>
                <w:sz w:val="22"/>
                <w:szCs w:val="20"/>
              </w:rPr>
              <w:t>区农村工作委员会</w:t>
            </w:r>
          </w:p>
        </w:tc>
        <w:tc>
          <w:tcPr>
            <w:tcW w:w="5487" w:type="dxa"/>
            <w:vAlign w:val="center"/>
          </w:tcPr>
          <w:p w:rsidR="00973FBB" w:rsidRDefault="008721DD">
            <w:pPr>
              <w:rPr>
                <w:rFonts w:ascii="宋体" w:eastAsia="宋体" w:hAnsi="宋体" w:cs="宋体"/>
                <w:color w:val="000000"/>
                <w:kern w:val="0"/>
                <w:sz w:val="22"/>
                <w:szCs w:val="20"/>
              </w:rPr>
            </w:pPr>
            <w:r>
              <w:rPr>
                <w:rFonts w:ascii="宋体" w:eastAsia="宋体" w:hAnsi="宋体" w:cs="宋体" w:hint="eastAsia"/>
                <w:color w:val="000000"/>
                <w:kern w:val="0"/>
                <w:sz w:val="22"/>
                <w:szCs w:val="20"/>
              </w:rPr>
              <w:t>拟订本区都市</w:t>
            </w:r>
            <w:proofErr w:type="gramStart"/>
            <w:r>
              <w:rPr>
                <w:rFonts w:ascii="宋体" w:eastAsia="宋体" w:hAnsi="宋体" w:cs="宋体" w:hint="eastAsia"/>
                <w:color w:val="000000"/>
                <w:kern w:val="0"/>
                <w:sz w:val="22"/>
                <w:szCs w:val="20"/>
              </w:rPr>
              <w:t>型现代</w:t>
            </w:r>
            <w:proofErr w:type="gramEnd"/>
            <w:r>
              <w:rPr>
                <w:rFonts w:ascii="宋体" w:eastAsia="宋体" w:hAnsi="宋体" w:cs="宋体" w:hint="eastAsia"/>
                <w:color w:val="000000"/>
                <w:kern w:val="0"/>
                <w:sz w:val="22"/>
                <w:szCs w:val="20"/>
              </w:rPr>
              <w:t>农业发展的规划、意见、政策，参与编制和修订村镇建设规划方案。</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区</w:t>
            </w:r>
            <w:proofErr w:type="gramStart"/>
            <w:r>
              <w:rPr>
                <w:rFonts w:ascii="宋体" w:eastAsia="宋体" w:hAnsi="宋体" w:cs="宋体" w:hint="eastAsia"/>
                <w:color w:val="000000"/>
                <w:kern w:val="0"/>
                <w:sz w:val="22"/>
              </w:rPr>
              <w:t>商务委</w:t>
            </w:r>
            <w:proofErr w:type="gramEnd"/>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推进本区流通产业结构调整，研究拟订本区商品流通和生活服务业重点设施的布局规划。</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区国资委</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推进本区国有及国有控股企业的改革和重组。</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区</w:t>
            </w:r>
            <w:proofErr w:type="gramStart"/>
            <w:r>
              <w:rPr>
                <w:rFonts w:ascii="宋体" w:eastAsia="宋体" w:hAnsi="宋体" w:cs="宋体" w:hint="eastAsia"/>
                <w:color w:val="000000"/>
                <w:kern w:val="0"/>
                <w:sz w:val="22"/>
              </w:rPr>
              <w:t>规</w:t>
            </w:r>
            <w:proofErr w:type="gramEnd"/>
            <w:r>
              <w:rPr>
                <w:rFonts w:ascii="宋体" w:eastAsia="宋体" w:hAnsi="宋体" w:cs="宋体" w:hint="eastAsia"/>
                <w:color w:val="000000"/>
                <w:kern w:val="0"/>
                <w:sz w:val="22"/>
              </w:rPr>
              <w:t>土委</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制定城乡规划和土地利用规划。</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属地政府</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落实区政府下达任务，制订年度计划，报批立项。</w:t>
            </w:r>
          </w:p>
        </w:tc>
      </w:tr>
      <w:tr w:rsidR="00973FBB">
        <w:trPr>
          <w:jc w:val="center"/>
        </w:trPr>
        <w:tc>
          <w:tcPr>
            <w:tcW w:w="3574" w:type="dxa"/>
            <w:vAlign w:val="center"/>
          </w:tcPr>
          <w:p w:rsidR="00973FBB" w:rsidRDefault="008721DD">
            <w:pPr>
              <w:jc w:val="center"/>
              <w:rPr>
                <w:rFonts w:ascii="宋体" w:eastAsia="宋体" w:hAnsi="宋体" w:cs="宋体"/>
                <w:color w:val="000000"/>
                <w:kern w:val="0"/>
                <w:sz w:val="22"/>
              </w:rPr>
            </w:pPr>
            <w:r>
              <w:rPr>
                <w:rFonts w:ascii="宋体" w:eastAsia="宋体" w:hAnsi="宋体" w:cs="宋体" w:hint="eastAsia"/>
                <w:color w:val="000000"/>
                <w:kern w:val="0"/>
                <w:sz w:val="22"/>
              </w:rPr>
              <w:t>土地使用权人</w:t>
            </w:r>
          </w:p>
        </w:tc>
        <w:tc>
          <w:tcPr>
            <w:tcW w:w="5487" w:type="dxa"/>
            <w:vAlign w:val="center"/>
          </w:tcPr>
          <w:p w:rsidR="00973FBB" w:rsidRDefault="008721DD">
            <w:pPr>
              <w:rPr>
                <w:rFonts w:ascii="宋体" w:eastAsia="宋体" w:hAnsi="宋体" w:cs="宋体"/>
                <w:color w:val="000000"/>
                <w:kern w:val="0"/>
                <w:sz w:val="22"/>
              </w:rPr>
            </w:pPr>
            <w:r>
              <w:rPr>
                <w:rFonts w:ascii="宋体" w:eastAsia="宋体" w:hAnsi="宋体" w:cs="宋体" w:hint="eastAsia"/>
                <w:color w:val="000000"/>
                <w:kern w:val="0"/>
                <w:sz w:val="22"/>
              </w:rPr>
              <w:t>整理形成可行性研究报告上报，相关手续办理。</w:t>
            </w:r>
          </w:p>
        </w:tc>
      </w:tr>
    </w:tbl>
    <w:bookmarkEnd w:id="24"/>
    <w:p w:rsidR="00973FBB" w:rsidRPr="00E821D7" w:rsidRDefault="008721DD" w:rsidP="00433344">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4.2建立信息共享平台，统一基础数据信息</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bookmarkStart w:id="25" w:name="OLE_LINK17"/>
      <w:r>
        <w:rPr>
          <w:rFonts w:ascii="宋体" w:eastAsia="宋体" w:hAnsi="宋体" w:cs="宋体" w:hint="eastAsia"/>
          <w:kern w:val="2"/>
          <w:sz w:val="21"/>
          <w:szCs w:val="21"/>
        </w:rPr>
        <w:t>（1）全面摸清空间底数，完善疏解腾退</w:t>
      </w:r>
      <w:proofErr w:type="gramStart"/>
      <w:r>
        <w:rPr>
          <w:rFonts w:ascii="宋体" w:eastAsia="宋体" w:hAnsi="宋体" w:cs="宋体" w:hint="eastAsia"/>
          <w:kern w:val="2"/>
          <w:sz w:val="21"/>
          <w:szCs w:val="21"/>
        </w:rPr>
        <w:t>地块台</w:t>
      </w:r>
      <w:proofErr w:type="gramEnd"/>
      <w:r>
        <w:rPr>
          <w:rFonts w:ascii="宋体" w:eastAsia="宋体" w:hAnsi="宋体" w:cs="宋体" w:hint="eastAsia"/>
          <w:kern w:val="2"/>
          <w:sz w:val="21"/>
          <w:szCs w:val="21"/>
        </w:rPr>
        <w:t>账。</w:t>
      </w:r>
      <w:bookmarkEnd w:id="25"/>
      <w:r w:rsidR="008721DD">
        <w:rPr>
          <w:rFonts w:ascii="宋体" w:eastAsia="宋体" w:hAnsi="宋体" w:cs="宋体" w:hint="eastAsia"/>
          <w:kern w:val="2"/>
          <w:sz w:val="21"/>
          <w:szCs w:val="21"/>
        </w:rPr>
        <w:t>负责基础数据收集的单位应充分利用信息化手</w:t>
      </w:r>
      <w:r>
        <w:rPr>
          <w:rFonts w:ascii="宋体" w:eastAsia="宋体" w:hAnsi="宋体" w:cs="宋体" w:hint="eastAsia"/>
          <w:kern w:val="2"/>
          <w:sz w:val="21"/>
          <w:szCs w:val="21"/>
        </w:rPr>
        <w:t>段进行数据收集，保证每一宗地的坐标、实际情况在底图中清晰体现，</w:t>
      </w:r>
      <w:r w:rsidR="008721DD">
        <w:rPr>
          <w:rFonts w:ascii="宋体" w:eastAsia="宋体" w:hAnsi="宋体" w:cs="宋体" w:hint="eastAsia"/>
          <w:kern w:val="2"/>
          <w:sz w:val="21"/>
          <w:szCs w:val="21"/>
        </w:rPr>
        <w:t>图中</w:t>
      </w:r>
      <w:proofErr w:type="gramStart"/>
      <w:r>
        <w:rPr>
          <w:rFonts w:ascii="宋体" w:eastAsia="宋体" w:hAnsi="宋体" w:cs="宋体" w:hint="eastAsia"/>
          <w:kern w:val="2"/>
          <w:sz w:val="21"/>
          <w:szCs w:val="21"/>
        </w:rPr>
        <w:t>须</w:t>
      </w:r>
      <w:r w:rsidR="008721DD">
        <w:rPr>
          <w:rFonts w:ascii="宋体" w:eastAsia="宋体" w:hAnsi="宋体" w:cs="宋体" w:hint="eastAsia"/>
          <w:kern w:val="2"/>
          <w:sz w:val="21"/>
          <w:szCs w:val="21"/>
        </w:rPr>
        <w:t>反映</w:t>
      </w:r>
      <w:proofErr w:type="gramEnd"/>
      <w:r w:rsidR="008721DD">
        <w:rPr>
          <w:rFonts w:ascii="宋体" w:eastAsia="宋体" w:hAnsi="宋体" w:cs="宋体" w:hint="eastAsia"/>
          <w:kern w:val="2"/>
          <w:sz w:val="21"/>
          <w:szCs w:val="21"/>
        </w:rPr>
        <w:t>宗地的四至范围、产权归属及周边规划建设情况等信息，并在地籍图、遥感影像图、规划图均有体现。</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（2）</w:t>
      </w:r>
      <w:r w:rsidR="008721DD">
        <w:rPr>
          <w:rFonts w:ascii="宋体" w:eastAsia="宋体" w:hAnsi="宋体" w:cs="宋体" w:hint="eastAsia"/>
          <w:kern w:val="2"/>
          <w:sz w:val="21"/>
          <w:szCs w:val="21"/>
        </w:rPr>
        <w:t>规范土地台</w:t>
      </w:r>
      <w:proofErr w:type="gramStart"/>
      <w:r w:rsidR="008721DD">
        <w:rPr>
          <w:rFonts w:ascii="宋体" w:eastAsia="宋体" w:hAnsi="宋体" w:cs="宋体" w:hint="eastAsia"/>
          <w:kern w:val="2"/>
          <w:sz w:val="21"/>
          <w:szCs w:val="21"/>
        </w:rPr>
        <w:t>账</w:t>
      </w:r>
      <w:proofErr w:type="gramEnd"/>
      <w:r w:rsidR="008721DD">
        <w:rPr>
          <w:rFonts w:ascii="宋体" w:eastAsia="宋体" w:hAnsi="宋体" w:cs="宋体" w:hint="eastAsia"/>
          <w:kern w:val="2"/>
          <w:sz w:val="21"/>
          <w:szCs w:val="21"/>
        </w:rPr>
        <w:t>格式与统计方法。数据收集统计时应使用统一的度量单位，增强各数据收集单位搜集到数据的可用性。各组数据重复部分应能互相印证，避免出现同一位置数据不统一的现象。统计数据应能充分反应该宗地的基本情况，且能对其流转方向进行标注。</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（3）</w:t>
      </w:r>
      <w:r w:rsidR="008721DD">
        <w:rPr>
          <w:rFonts w:ascii="宋体" w:eastAsia="宋体" w:hAnsi="宋体" w:cs="宋体" w:hint="eastAsia"/>
          <w:kern w:val="2"/>
          <w:sz w:val="21"/>
          <w:szCs w:val="21"/>
        </w:rPr>
        <w:t>建立土地信息共享平台。该平台能够及时掌握腾退土地利用现状，反映土地当前的状态以及其腾退前的利用状况经营模式。对信息共享平台实时更新，由相关职能部门将数据更新录入，保证平台内容的时效性。同时，该平台应具备动态监测宗地的功能，土地定期的评估情况也会录入到该平台，供相关部门查阅保存。</w:t>
      </w:r>
    </w:p>
    <w:p w:rsidR="00973FBB" w:rsidRPr="00E821D7" w:rsidRDefault="008721DD" w:rsidP="00433344">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4.3科学合理</w:t>
      </w:r>
      <w:r w:rsidR="00433344">
        <w:rPr>
          <w:rFonts w:ascii="宋体" w:eastAsia="宋体" w:hAnsi="宋体" w:cs="宋体" w:hint="eastAsia"/>
          <w:b/>
          <w:kern w:val="2"/>
          <w:sz w:val="21"/>
          <w:szCs w:val="21"/>
        </w:rPr>
        <w:t>地制定规划，实现土地</w:t>
      </w:r>
      <w:r w:rsidRPr="00E821D7">
        <w:rPr>
          <w:rFonts w:ascii="宋体" w:eastAsia="宋体" w:hAnsi="宋体" w:cs="宋体" w:hint="eastAsia"/>
          <w:b/>
          <w:kern w:val="2"/>
          <w:sz w:val="21"/>
          <w:szCs w:val="21"/>
        </w:rPr>
        <w:t>节约集约利用</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lastRenderedPageBreak/>
        <w:t>（1）</w:t>
      </w:r>
      <w:r w:rsidR="008721DD">
        <w:rPr>
          <w:rFonts w:ascii="宋体" w:eastAsia="宋体" w:hAnsi="宋体" w:cs="宋体" w:hint="eastAsia"/>
          <w:kern w:val="2"/>
          <w:sz w:val="21"/>
          <w:szCs w:val="21"/>
        </w:rPr>
        <w:t>超前编制单元规划，推动产业转型升级。在新时代背景下，以街区为单元编制控制性规划，倒推区级规划更多考虑镇域层面需求，切实解决亟待解决的历史遗留问题。问题导向和目标导向相结合，因地制宜，对不同类型、不同地区分类进行控制引导。要在强化底线要求、刚性要求的基础上，适度超前，实现弹性控制。通过规划引领，倒</w:t>
      </w:r>
      <w:proofErr w:type="gramStart"/>
      <w:r w:rsidR="008721DD">
        <w:rPr>
          <w:rFonts w:ascii="宋体" w:eastAsia="宋体" w:hAnsi="宋体" w:cs="宋体" w:hint="eastAsia"/>
          <w:kern w:val="2"/>
          <w:sz w:val="21"/>
          <w:szCs w:val="21"/>
        </w:rPr>
        <w:t>逼产业</w:t>
      </w:r>
      <w:proofErr w:type="gramEnd"/>
      <w:r w:rsidR="008721DD">
        <w:rPr>
          <w:rFonts w:ascii="宋体" w:eastAsia="宋体" w:hAnsi="宋体" w:cs="宋体" w:hint="eastAsia"/>
          <w:kern w:val="2"/>
          <w:sz w:val="21"/>
          <w:szCs w:val="21"/>
        </w:rPr>
        <w:t>转型、公共服务设施均等化。</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（2）</w:t>
      </w:r>
      <w:r w:rsidR="008721DD">
        <w:rPr>
          <w:rFonts w:ascii="宋体" w:eastAsia="宋体" w:hAnsi="宋体" w:cs="宋体" w:hint="eastAsia"/>
          <w:kern w:val="2"/>
          <w:sz w:val="21"/>
          <w:szCs w:val="21"/>
        </w:rPr>
        <w:t>探索编制腾退空间规划。对腾退空间开展摸底调查，全面了解腾退</w:t>
      </w:r>
      <w:r>
        <w:rPr>
          <w:rFonts w:ascii="宋体" w:eastAsia="宋体" w:hAnsi="宋体" w:cs="宋体" w:hint="eastAsia"/>
          <w:kern w:val="2"/>
          <w:sz w:val="21"/>
          <w:szCs w:val="21"/>
        </w:rPr>
        <w:t>土</w:t>
      </w:r>
      <w:r w:rsidR="008721DD">
        <w:rPr>
          <w:rFonts w:ascii="宋体" w:eastAsia="宋体" w:hAnsi="宋体" w:cs="宋体" w:hint="eastAsia"/>
          <w:kern w:val="2"/>
          <w:sz w:val="21"/>
          <w:szCs w:val="21"/>
        </w:rPr>
        <w:t>地面积、四至范围、产权归属及周边区域规划建设情况等信息。</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（3）</w:t>
      </w:r>
      <w:r w:rsidR="008721DD">
        <w:rPr>
          <w:rFonts w:ascii="宋体" w:eastAsia="宋体" w:hAnsi="宋体" w:cs="宋体" w:hint="eastAsia"/>
          <w:kern w:val="2"/>
          <w:sz w:val="21"/>
          <w:szCs w:val="21"/>
        </w:rPr>
        <w:t>更新分区发展规划。按照区域发展方向和不同区块经济社会发展特点，更新分区发展规划，明确街镇未来发展定位，指导闲置土地开发利用。</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（4）</w:t>
      </w:r>
      <w:r w:rsidR="008721DD">
        <w:rPr>
          <w:rFonts w:ascii="宋体" w:eastAsia="宋体" w:hAnsi="宋体" w:cs="宋体" w:hint="eastAsia"/>
          <w:kern w:val="2"/>
          <w:sz w:val="21"/>
          <w:szCs w:val="21"/>
        </w:rPr>
        <w:t>制定临时许可政策。协调土地利用总体规划与其他各项规划，逐一</w:t>
      </w:r>
      <w:proofErr w:type="gramStart"/>
      <w:r w:rsidR="008721DD">
        <w:rPr>
          <w:rFonts w:ascii="宋体" w:eastAsia="宋体" w:hAnsi="宋体" w:cs="宋体" w:hint="eastAsia"/>
          <w:kern w:val="2"/>
          <w:sz w:val="21"/>
          <w:szCs w:val="21"/>
        </w:rPr>
        <w:t>筛选受</w:t>
      </w:r>
      <w:proofErr w:type="gramEnd"/>
      <w:r w:rsidR="008721DD">
        <w:rPr>
          <w:rFonts w:ascii="宋体" w:eastAsia="宋体" w:hAnsi="宋体" w:cs="宋体" w:hint="eastAsia"/>
          <w:kern w:val="2"/>
          <w:sz w:val="21"/>
          <w:szCs w:val="21"/>
        </w:rPr>
        <w:t>规划影响的转型企业，制定临时许可政策，准予其办理环保、工商、消防等行业相关手续，促进大量转型升级后的闲置楼宇资源再利用。</w:t>
      </w:r>
    </w:p>
    <w:p w:rsidR="00973FBB" w:rsidRPr="00E821D7" w:rsidRDefault="008721DD" w:rsidP="00433344">
      <w:pPr>
        <w:pStyle w:val="ac"/>
        <w:wordWrap w:val="0"/>
        <w:spacing w:beforeAutospacing="0" w:afterAutospacing="0" w:line="360" w:lineRule="auto"/>
        <w:jc w:val="both"/>
        <w:rPr>
          <w:rFonts w:ascii="宋体" w:eastAsia="宋体" w:hAnsi="宋体" w:cs="宋体"/>
          <w:b/>
          <w:kern w:val="2"/>
          <w:sz w:val="21"/>
          <w:szCs w:val="21"/>
        </w:rPr>
      </w:pPr>
      <w:r w:rsidRPr="00E821D7">
        <w:rPr>
          <w:rFonts w:ascii="宋体" w:eastAsia="宋体" w:hAnsi="宋体" w:cs="宋体" w:hint="eastAsia"/>
          <w:b/>
          <w:kern w:val="2"/>
          <w:sz w:val="21"/>
          <w:szCs w:val="21"/>
        </w:rPr>
        <w:t>4.4构建动态监测考核机制，明确工作落实情况</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（1）</w:t>
      </w:r>
      <w:r w:rsidR="008721DD">
        <w:rPr>
          <w:rFonts w:ascii="宋体" w:eastAsia="宋体" w:hAnsi="宋体" w:cs="宋体" w:hint="eastAsia"/>
          <w:kern w:val="2"/>
          <w:sz w:val="21"/>
          <w:szCs w:val="21"/>
        </w:rPr>
        <w:t>设立区域腾退用地动态监测评价指标体系。</w:t>
      </w:r>
      <w:bookmarkEnd w:id="18"/>
      <w:bookmarkEnd w:id="19"/>
      <w:bookmarkEnd w:id="20"/>
      <w:r w:rsidR="008721DD">
        <w:rPr>
          <w:rFonts w:ascii="宋体" w:eastAsia="宋体" w:hAnsi="宋体" w:cs="宋体" w:hint="eastAsia"/>
          <w:kern w:val="2"/>
          <w:sz w:val="21"/>
          <w:szCs w:val="21"/>
        </w:rPr>
        <w:t>跟踪监测腾退空间再利用情况，定期进行数据分析</w:t>
      </w:r>
      <w:proofErr w:type="gramStart"/>
      <w:r w:rsidR="008721DD">
        <w:rPr>
          <w:rFonts w:ascii="宋体" w:eastAsia="宋体" w:hAnsi="宋体" w:cs="宋体" w:hint="eastAsia"/>
          <w:kern w:val="2"/>
          <w:sz w:val="21"/>
          <w:szCs w:val="21"/>
        </w:rPr>
        <w:t>研</w:t>
      </w:r>
      <w:proofErr w:type="gramEnd"/>
      <w:r w:rsidR="008721DD">
        <w:rPr>
          <w:rFonts w:ascii="宋体" w:eastAsia="宋体" w:hAnsi="宋体" w:cs="宋体" w:hint="eastAsia"/>
          <w:kern w:val="2"/>
          <w:sz w:val="21"/>
          <w:szCs w:val="21"/>
        </w:rPr>
        <w:t>判。根据评价结果，对投入产出效益低的项目进行帮扶，保证区内用地安排合理，不断完善腾退空间管理利用政策。</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（2）</w:t>
      </w:r>
      <w:r w:rsidR="008721DD">
        <w:rPr>
          <w:rFonts w:ascii="宋体" w:eastAsia="宋体" w:hAnsi="宋体" w:cs="宋体" w:hint="eastAsia"/>
          <w:kern w:val="2"/>
          <w:sz w:val="21"/>
          <w:szCs w:val="21"/>
        </w:rPr>
        <w:t>制定系统、综合的腾退</w:t>
      </w:r>
      <w:r>
        <w:rPr>
          <w:rFonts w:ascii="宋体" w:eastAsia="宋体" w:hAnsi="宋体" w:cs="宋体" w:hint="eastAsia"/>
          <w:kern w:val="2"/>
          <w:sz w:val="21"/>
          <w:szCs w:val="21"/>
        </w:rPr>
        <w:t>土</w:t>
      </w:r>
      <w:r w:rsidR="008721DD">
        <w:rPr>
          <w:rFonts w:ascii="宋体" w:eastAsia="宋体" w:hAnsi="宋体" w:cs="宋体" w:hint="eastAsia"/>
          <w:kern w:val="2"/>
          <w:sz w:val="21"/>
          <w:szCs w:val="21"/>
        </w:rPr>
        <w:t>地再利用考核管理体系。有效控制建设用地总量，促进土地合理利用，抑制低效用地。考核管理指标应综合考虑各属地政府实力，包含约束性指标、静态指标、动态指标、环境影响指标及预期性指标。成立专门的监督小组，对属地政府工作进行考核，定期组织腾退空间利用情况检查，并对检查情况及时通报。建立奖惩机制，对未按照要求落实责任，造成腾退空间管理不到位的，按规定追究其责任。</w:t>
      </w:r>
    </w:p>
    <w:p w:rsidR="00973FBB" w:rsidRDefault="00433344">
      <w:pPr>
        <w:pStyle w:val="ac"/>
        <w:wordWrap w:val="0"/>
        <w:spacing w:beforeAutospacing="0" w:afterAutospacing="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（3）</w:t>
      </w:r>
      <w:r w:rsidR="008721DD">
        <w:rPr>
          <w:rFonts w:ascii="宋体" w:eastAsia="宋体" w:hAnsi="宋体" w:cs="宋体" w:hint="eastAsia"/>
          <w:kern w:val="2"/>
          <w:sz w:val="21"/>
          <w:szCs w:val="21"/>
        </w:rPr>
        <w:t>落实共同工作机制。完善相关评价指标体系，增加实际管辖范围评价任务；严格审核把关基础数据，确保数据真实准确；强化评价成果应用，发挥评价考核机制导向作用。</w:t>
      </w:r>
    </w:p>
    <w:p w:rsidR="00881D3C" w:rsidRDefault="00881D3C">
      <w:pPr>
        <w:pStyle w:val="ac"/>
        <w:wordWrap w:val="0"/>
        <w:spacing w:beforeAutospacing="0" w:afterAutospacing="0" w:line="360" w:lineRule="auto"/>
        <w:ind w:firstLineChars="200" w:firstLine="420"/>
        <w:jc w:val="both"/>
        <w:rPr>
          <w:rFonts w:ascii="宋体" w:eastAsia="宋体" w:hAnsi="宋体" w:cs="宋体" w:hint="eastAsia"/>
          <w:kern w:val="2"/>
          <w:sz w:val="21"/>
          <w:szCs w:val="21"/>
        </w:rPr>
      </w:pPr>
      <w:bookmarkStart w:id="26" w:name="_GoBack"/>
      <w:bookmarkEnd w:id="26"/>
    </w:p>
    <w:p w:rsidR="00973FBB" w:rsidRPr="00E821D7" w:rsidRDefault="00E0070A" w:rsidP="00433344">
      <w:pPr>
        <w:pStyle w:val="ac"/>
        <w:wordWrap w:val="0"/>
        <w:spacing w:beforeAutospacing="0" w:afterAutospacing="0" w:line="360" w:lineRule="auto"/>
        <w:jc w:val="both"/>
        <w:rPr>
          <w:rFonts w:ascii="宋体" w:eastAsia="宋体" w:hAnsi="宋体" w:cs="宋体"/>
          <w:b/>
          <w:kern w:val="2"/>
          <w:sz w:val="21"/>
          <w:szCs w:val="21"/>
        </w:rPr>
      </w:pPr>
      <w:r>
        <w:rPr>
          <w:rFonts w:ascii="宋体" w:eastAsia="宋体" w:hAnsi="宋体" w:cs="宋体" w:hint="eastAsia"/>
          <w:b/>
          <w:kern w:val="2"/>
          <w:sz w:val="21"/>
          <w:szCs w:val="21"/>
        </w:rPr>
        <w:t>参考文献</w:t>
      </w:r>
    </w:p>
    <w:p w:rsidR="00973FBB"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[1]徐博,王珺卓,于旸.新城周边型城镇居住用地问题研究[J].中国国土资源经济</w:t>
      </w:r>
      <w:r w:rsidR="00433344">
        <w:rPr>
          <w:rFonts w:ascii="宋体" w:eastAsia="宋体" w:hAnsi="宋体" w:cs="宋体" w:hint="eastAsia"/>
          <w:kern w:val="2"/>
          <w:sz w:val="21"/>
          <w:szCs w:val="21"/>
        </w:rPr>
        <w:t>,2014,27(</w:t>
      </w:r>
      <w:r>
        <w:rPr>
          <w:rFonts w:ascii="宋体" w:eastAsia="宋体" w:hAnsi="宋体" w:cs="宋体" w:hint="eastAsia"/>
          <w:kern w:val="2"/>
          <w:sz w:val="21"/>
          <w:szCs w:val="21"/>
        </w:rPr>
        <w:t>6):34-36.</w:t>
      </w:r>
    </w:p>
    <w:p w:rsidR="00973FBB"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[2]李亮,孙福亮,郭占彪,李晓宇.闲置及低效工业土地再利用研究探讨[J].内蒙古科技与经济,2015(21):62-63.</w:t>
      </w:r>
    </w:p>
    <w:p w:rsidR="00973FBB" w:rsidRDefault="008721DD" w:rsidP="00E0070A">
      <w:pPr>
        <w:widowControl/>
        <w:spacing w:line="360" w:lineRule="auto"/>
        <w:rPr>
          <w:rFonts w:ascii="宋体" w:eastAsia="宋体" w:hAnsi="宋体" w:cs="宋体"/>
          <w:szCs w:val="21"/>
        </w:rPr>
      </w:pPr>
      <w:r>
        <w:rPr>
          <w:rFonts w:ascii="宋体" w:eastAsia="宋体" w:hAnsi="宋体" w:cs="宋体" w:hint="eastAsia"/>
          <w:szCs w:val="21"/>
        </w:rPr>
        <w:lastRenderedPageBreak/>
        <w:t>[3]</w:t>
      </w:r>
      <w:proofErr w:type="gramStart"/>
      <w:r>
        <w:rPr>
          <w:rFonts w:ascii="宋体" w:eastAsia="宋体" w:hAnsi="宋体" w:cs="宋体" w:hint="eastAsia"/>
          <w:szCs w:val="21"/>
        </w:rPr>
        <w:t>大兴区</w:t>
      </w:r>
      <w:proofErr w:type="gramEnd"/>
      <w:r>
        <w:rPr>
          <w:rFonts w:ascii="宋体" w:eastAsia="宋体" w:hAnsi="宋体" w:cs="宋体" w:hint="eastAsia"/>
          <w:szCs w:val="21"/>
        </w:rPr>
        <w:t>农村土地制度改革试点调研组.农村集体经营性建设用地入市改革的“大兴方案”[J].中国土地</w:t>
      </w:r>
      <w:r w:rsidR="00433344">
        <w:rPr>
          <w:rFonts w:ascii="宋体" w:eastAsia="宋体" w:hAnsi="宋体" w:cs="宋体" w:hint="eastAsia"/>
          <w:szCs w:val="21"/>
        </w:rPr>
        <w:t>,2019(</w:t>
      </w:r>
      <w:r>
        <w:rPr>
          <w:rFonts w:ascii="宋体" w:eastAsia="宋体" w:hAnsi="宋体" w:cs="宋体" w:hint="eastAsia"/>
          <w:szCs w:val="21"/>
        </w:rPr>
        <w:t>1):9-15.</w:t>
      </w:r>
    </w:p>
    <w:p w:rsidR="00973FBB"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[4]匡晓明.上海城市更新面临的难点与对策[J].科学发展</w:t>
      </w:r>
      <w:r w:rsidR="00433344">
        <w:rPr>
          <w:rFonts w:ascii="宋体" w:eastAsia="宋体" w:hAnsi="宋体" w:cs="宋体" w:hint="eastAsia"/>
          <w:kern w:val="2"/>
          <w:sz w:val="21"/>
          <w:szCs w:val="21"/>
        </w:rPr>
        <w:t>,2017(</w:t>
      </w:r>
      <w:r>
        <w:rPr>
          <w:rFonts w:ascii="宋体" w:eastAsia="宋体" w:hAnsi="宋体" w:cs="宋体" w:hint="eastAsia"/>
          <w:kern w:val="2"/>
          <w:sz w:val="21"/>
          <w:szCs w:val="21"/>
        </w:rPr>
        <w:t>3):32-39.</w:t>
      </w:r>
    </w:p>
    <w:p w:rsidR="00973FBB"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[5]陈勃.历史违法用地处置路径的探索与思考[J].浙江国土资源</w:t>
      </w:r>
      <w:r w:rsidR="00433344">
        <w:rPr>
          <w:rFonts w:ascii="宋体" w:eastAsia="宋体" w:hAnsi="宋体" w:cs="宋体" w:hint="eastAsia"/>
          <w:kern w:val="2"/>
          <w:sz w:val="21"/>
          <w:szCs w:val="21"/>
        </w:rPr>
        <w:t>,2017(</w:t>
      </w:r>
      <w:r>
        <w:rPr>
          <w:rFonts w:ascii="宋体" w:eastAsia="宋体" w:hAnsi="宋体" w:cs="宋体" w:hint="eastAsia"/>
          <w:kern w:val="2"/>
          <w:sz w:val="21"/>
          <w:szCs w:val="21"/>
        </w:rPr>
        <w:t>9):13-15.</w:t>
      </w:r>
    </w:p>
    <w:p w:rsidR="00973FBB"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[6]高朋.差别化施测盘活存量用地[N].中国自然资源报,2019-</w:t>
      </w:r>
      <w:r w:rsidR="00433344">
        <w:rPr>
          <w:rFonts w:ascii="宋体" w:eastAsia="宋体" w:hAnsi="宋体" w:cs="宋体" w:hint="eastAsia"/>
          <w:kern w:val="2"/>
          <w:sz w:val="21"/>
          <w:szCs w:val="21"/>
        </w:rPr>
        <w:t>0</w:t>
      </w:r>
      <w:r>
        <w:rPr>
          <w:rFonts w:ascii="宋体" w:eastAsia="宋体" w:hAnsi="宋体" w:cs="宋体" w:hint="eastAsia"/>
          <w:kern w:val="2"/>
          <w:sz w:val="21"/>
          <w:szCs w:val="21"/>
        </w:rPr>
        <w:t>3-15</w:t>
      </w:r>
      <w:r w:rsidR="00433344">
        <w:rPr>
          <w:rFonts w:ascii="宋体" w:eastAsia="宋体" w:hAnsi="宋体" w:cs="宋体" w:hint="eastAsia"/>
          <w:kern w:val="2"/>
          <w:sz w:val="21"/>
          <w:szCs w:val="21"/>
        </w:rPr>
        <w:t>（07）</w:t>
      </w:r>
      <w:r>
        <w:rPr>
          <w:rFonts w:ascii="宋体" w:eastAsia="宋体" w:hAnsi="宋体" w:cs="宋体" w:hint="eastAsia"/>
          <w:kern w:val="2"/>
          <w:sz w:val="21"/>
          <w:szCs w:val="21"/>
        </w:rPr>
        <w:t>.</w:t>
      </w:r>
    </w:p>
    <w:p w:rsidR="00973FBB"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[7]黄平利.大连城市核心区功能疏解研究[J].中外建筑,2018(12):66-67.</w:t>
      </w:r>
    </w:p>
    <w:p w:rsidR="00973FBB" w:rsidRPr="00E0070A" w:rsidRDefault="008721DD" w:rsidP="00E0070A">
      <w:pPr>
        <w:pStyle w:val="ac"/>
        <w:wordWrap w:val="0"/>
        <w:spacing w:beforeAutospacing="0" w:afterAutospacing="0" w:line="360" w:lineRule="auto"/>
        <w:jc w:val="both"/>
        <w:rPr>
          <w:rFonts w:ascii="宋体" w:eastAsia="宋体" w:hAnsi="宋体" w:cs="宋体"/>
          <w:kern w:val="2"/>
          <w:sz w:val="21"/>
          <w:szCs w:val="21"/>
        </w:rPr>
      </w:pPr>
      <w:r>
        <w:rPr>
          <w:rFonts w:ascii="宋体" w:eastAsia="宋体" w:hAnsi="宋体" w:cs="宋体" w:hint="eastAsia"/>
          <w:kern w:val="2"/>
          <w:sz w:val="21"/>
          <w:szCs w:val="21"/>
        </w:rPr>
        <w:t>[8]覃毅.</w:t>
      </w:r>
      <w:proofErr w:type="gramStart"/>
      <w:r>
        <w:rPr>
          <w:rFonts w:ascii="宋体" w:eastAsia="宋体" w:hAnsi="宋体" w:cs="宋体" w:hint="eastAsia"/>
          <w:kern w:val="2"/>
          <w:sz w:val="21"/>
          <w:szCs w:val="21"/>
        </w:rPr>
        <w:t>雄安新区</w:t>
      </w:r>
      <w:proofErr w:type="gramEnd"/>
      <w:r>
        <w:rPr>
          <w:rFonts w:ascii="宋体" w:eastAsia="宋体" w:hAnsi="宋体" w:cs="宋体" w:hint="eastAsia"/>
          <w:kern w:val="2"/>
          <w:sz w:val="21"/>
          <w:szCs w:val="21"/>
        </w:rPr>
        <w:t>传统产业的功能定位与转型升级[J].中外建筑,2019(12):84-86.</w:t>
      </w:r>
    </w:p>
    <w:sectPr w:rsidR="00973FBB" w:rsidRPr="00E0070A" w:rsidSect="00A91B5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E6" w:rsidRDefault="007B7DE6">
      <w:r>
        <w:separator/>
      </w:r>
    </w:p>
  </w:endnote>
  <w:endnote w:type="continuationSeparator" w:id="0">
    <w:p w:rsidR="007B7DE6" w:rsidRDefault="007B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Malgun Gothic Semilight">
    <w:altName w:val="华文仿宋"/>
    <w:charset w:val="86"/>
    <w:family w:val="swiss"/>
    <w:pitch w:val="variable"/>
    <w:sig w:usb0="00000000"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608975"/>
      <w:docPartObj>
        <w:docPartGallery w:val="Page Numbers (Bottom of Page)"/>
        <w:docPartUnique/>
      </w:docPartObj>
    </w:sdtPr>
    <w:sdtEndPr/>
    <w:sdtContent>
      <w:p w:rsidR="00E0070A" w:rsidRDefault="00E0070A">
        <w:pPr>
          <w:pStyle w:val="a7"/>
          <w:jc w:val="center"/>
        </w:pPr>
        <w:r>
          <w:fldChar w:fldCharType="begin"/>
        </w:r>
        <w:r>
          <w:instrText>PAGE   \* MERGEFORMAT</w:instrText>
        </w:r>
        <w:r>
          <w:fldChar w:fldCharType="separate"/>
        </w:r>
        <w:r w:rsidR="00881D3C" w:rsidRPr="00881D3C">
          <w:rPr>
            <w:noProof/>
            <w:lang w:val="zh-CN"/>
          </w:rPr>
          <w:t>1</w:t>
        </w:r>
        <w:r>
          <w:fldChar w:fldCharType="end"/>
        </w:r>
      </w:p>
    </w:sdtContent>
  </w:sdt>
  <w:p w:rsidR="00973FBB" w:rsidRDefault="00973F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E6" w:rsidRDefault="007B7DE6">
      <w:r>
        <w:separator/>
      </w:r>
    </w:p>
  </w:footnote>
  <w:footnote w:type="continuationSeparator" w:id="0">
    <w:p w:rsidR="007B7DE6" w:rsidRDefault="007B7DE6">
      <w:r>
        <w:continuationSeparator/>
      </w:r>
    </w:p>
  </w:footnote>
  <w:footnote w:id="1">
    <w:p w:rsidR="00973FBB" w:rsidRDefault="007D4DA9">
      <w:pPr>
        <w:rPr>
          <w:rFonts w:asciiTheme="minorEastAsia" w:hAnsiTheme="minorEastAsia"/>
          <w:sz w:val="18"/>
          <w:szCs w:val="18"/>
        </w:rPr>
      </w:pPr>
      <w:r>
        <w:rPr>
          <w:rStyle w:val="af1"/>
        </w:rPr>
        <w:t>1</w:t>
      </w:r>
      <w:r w:rsidR="008721DD">
        <w:t xml:space="preserve"> </w:t>
      </w:r>
      <w:r w:rsidR="008721DD">
        <w:rPr>
          <w:rFonts w:asciiTheme="minorEastAsia" w:hAnsiTheme="minorEastAsia"/>
          <w:b/>
          <w:sz w:val="18"/>
          <w:szCs w:val="18"/>
        </w:rPr>
        <w:t>收稿日期：</w:t>
      </w:r>
      <w:r w:rsidR="008721DD">
        <w:rPr>
          <w:rFonts w:asciiTheme="minorEastAsia" w:hAnsiTheme="minorEastAsia"/>
          <w:sz w:val="18"/>
          <w:szCs w:val="18"/>
        </w:rPr>
        <w:t>2019-0</w:t>
      </w:r>
      <w:r w:rsidR="008721DD">
        <w:rPr>
          <w:rFonts w:asciiTheme="minorEastAsia" w:hAnsiTheme="minorEastAsia" w:hint="eastAsia"/>
          <w:sz w:val="18"/>
          <w:szCs w:val="18"/>
        </w:rPr>
        <w:t>3</w:t>
      </w:r>
      <w:r w:rsidR="008721DD">
        <w:rPr>
          <w:rFonts w:asciiTheme="minorEastAsia" w:hAnsiTheme="minorEastAsia"/>
          <w:sz w:val="18"/>
          <w:szCs w:val="18"/>
        </w:rPr>
        <w:t>-</w:t>
      </w:r>
      <w:r w:rsidR="008721DD">
        <w:rPr>
          <w:rFonts w:asciiTheme="minorEastAsia" w:hAnsiTheme="minorEastAsia" w:hint="eastAsia"/>
          <w:sz w:val="18"/>
          <w:szCs w:val="18"/>
        </w:rPr>
        <w:t>18</w:t>
      </w:r>
      <w:r w:rsidR="008721DD">
        <w:rPr>
          <w:rFonts w:asciiTheme="minorEastAsia" w:hAnsiTheme="minorEastAsia"/>
          <w:sz w:val="18"/>
          <w:szCs w:val="18"/>
        </w:rPr>
        <w:t>；</w:t>
      </w:r>
      <w:proofErr w:type="gramStart"/>
      <w:r w:rsidR="008721DD">
        <w:rPr>
          <w:rFonts w:asciiTheme="minorEastAsia" w:hAnsiTheme="minorEastAsia"/>
          <w:b/>
          <w:sz w:val="18"/>
          <w:szCs w:val="18"/>
        </w:rPr>
        <w:t>修回日期</w:t>
      </w:r>
      <w:proofErr w:type="gramEnd"/>
      <w:r w:rsidR="008721DD">
        <w:rPr>
          <w:rFonts w:asciiTheme="minorEastAsia" w:hAnsiTheme="minorEastAsia"/>
          <w:b/>
          <w:sz w:val="18"/>
          <w:szCs w:val="18"/>
        </w:rPr>
        <w:t>：</w:t>
      </w:r>
      <w:r w:rsidR="008721DD">
        <w:rPr>
          <w:rFonts w:asciiTheme="minorEastAsia" w:hAnsiTheme="minorEastAsia"/>
          <w:sz w:val="18"/>
          <w:szCs w:val="18"/>
        </w:rPr>
        <w:t>2019-0</w:t>
      </w:r>
      <w:r w:rsidR="008721DD">
        <w:rPr>
          <w:rFonts w:asciiTheme="minorEastAsia" w:hAnsiTheme="minorEastAsia" w:hint="eastAsia"/>
          <w:sz w:val="18"/>
          <w:szCs w:val="18"/>
        </w:rPr>
        <w:t>4</w:t>
      </w:r>
      <w:r w:rsidR="008721DD">
        <w:rPr>
          <w:rFonts w:asciiTheme="minorEastAsia" w:hAnsiTheme="minorEastAsia"/>
          <w:sz w:val="18"/>
          <w:szCs w:val="18"/>
        </w:rPr>
        <w:t>-</w:t>
      </w:r>
      <w:r w:rsidR="008721DD">
        <w:rPr>
          <w:rFonts w:asciiTheme="minorEastAsia" w:hAnsiTheme="minorEastAsia" w:hint="eastAsia"/>
          <w:sz w:val="18"/>
          <w:szCs w:val="18"/>
        </w:rPr>
        <w:t>15</w:t>
      </w:r>
    </w:p>
    <w:p w:rsidR="00973FBB" w:rsidRDefault="008721DD">
      <w:pPr>
        <w:pStyle w:val="ab"/>
        <w:jc w:val="both"/>
        <w:rPr>
          <w:rFonts w:asciiTheme="minorEastAsia" w:hAnsiTheme="minorEastAsia"/>
          <w:szCs w:val="18"/>
        </w:rPr>
      </w:pPr>
      <w:r>
        <w:rPr>
          <w:rFonts w:asciiTheme="minorEastAsia" w:hAnsiTheme="minorEastAsia"/>
          <w:b/>
          <w:szCs w:val="18"/>
        </w:rPr>
        <w:t>基金项目：</w:t>
      </w:r>
      <w:r>
        <w:rPr>
          <w:rFonts w:asciiTheme="minorEastAsia" w:hAnsiTheme="minorEastAsia" w:hint="eastAsia"/>
          <w:szCs w:val="18"/>
        </w:rPr>
        <w:t>中共北京市顺义区委北京市顺义区人民政府研究室科研项目“顺义区提升腾退及闲置空间综合利用效率研究”（201908）</w:t>
      </w:r>
    </w:p>
    <w:p w:rsidR="00973FBB" w:rsidRDefault="008721DD" w:rsidP="00E821D7">
      <w:pPr>
        <w:widowControl/>
        <w:snapToGrid w:val="0"/>
      </w:pPr>
      <w:r>
        <w:rPr>
          <w:rFonts w:asciiTheme="minorEastAsia" w:hAnsiTheme="minorEastAsia"/>
          <w:b/>
          <w:sz w:val="18"/>
          <w:szCs w:val="18"/>
        </w:rPr>
        <w:t>作者简介：</w:t>
      </w:r>
      <w:r>
        <w:rPr>
          <w:rFonts w:asciiTheme="minorEastAsia" w:hAnsiTheme="minorEastAsia" w:hint="eastAsia"/>
          <w:sz w:val="18"/>
          <w:szCs w:val="18"/>
        </w:rPr>
        <w:t>张萌（1984—），女，河北省唐山市人，中国自然资源经济研究院助理研究员，土地管理学硕士，主要从事土地管理和矿产资源管理研究工作。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751BD6"/>
    <w:rsid w:val="000C135C"/>
    <w:rsid w:val="0018765B"/>
    <w:rsid w:val="001A71BB"/>
    <w:rsid w:val="001C2681"/>
    <w:rsid w:val="0025367B"/>
    <w:rsid w:val="002724F1"/>
    <w:rsid w:val="002B58CD"/>
    <w:rsid w:val="00323676"/>
    <w:rsid w:val="00354CDD"/>
    <w:rsid w:val="003746A2"/>
    <w:rsid w:val="00433344"/>
    <w:rsid w:val="004730C0"/>
    <w:rsid w:val="00496052"/>
    <w:rsid w:val="004E387F"/>
    <w:rsid w:val="00564C02"/>
    <w:rsid w:val="006243D6"/>
    <w:rsid w:val="006545D2"/>
    <w:rsid w:val="006B0D55"/>
    <w:rsid w:val="006D602A"/>
    <w:rsid w:val="006E0CA4"/>
    <w:rsid w:val="0078164C"/>
    <w:rsid w:val="00792423"/>
    <w:rsid w:val="007B7DE6"/>
    <w:rsid w:val="007D4DA9"/>
    <w:rsid w:val="007E2139"/>
    <w:rsid w:val="00855564"/>
    <w:rsid w:val="008721DD"/>
    <w:rsid w:val="00875FD6"/>
    <w:rsid w:val="00881D3C"/>
    <w:rsid w:val="00894CA4"/>
    <w:rsid w:val="008D0C43"/>
    <w:rsid w:val="00910046"/>
    <w:rsid w:val="00973FBB"/>
    <w:rsid w:val="00A00691"/>
    <w:rsid w:val="00A13ED4"/>
    <w:rsid w:val="00A56376"/>
    <w:rsid w:val="00A74B12"/>
    <w:rsid w:val="00A77558"/>
    <w:rsid w:val="00A91B55"/>
    <w:rsid w:val="00AD0A18"/>
    <w:rsid w:val="00AF0DA3"/>
    <w:rsid w:val="00C605E1"/>
    <w:rsid w:val="00CC7D34"/>
    <w:rsid w:val="00CD5615"/>
    <w:rsid w:val="00CE0F8B"/>
    <w:rsid w:val="00CF7A0A"/>
    <w:rsid w:val="00D22DE4"/>
    <w:rsid w:val="00DB0F76"/>
    <w:rsid w:val="00DE3908"/>
    <w:rsid w:val="00E0070A"/>
    <w:rsid w:val="00E22487"/>
    <w:rsid w:val="00E61518"/>
    <w:rsid w:val="00E629B0"/>
    <w:rsid w:val="00E821D7"/>
    <w:rsid w:val="00E87ADD"/>
    <w:rsid w:val="00E95E95"/>
    <w:rsid w:val="00EF3EA0"/>
    <w:rsid w:val="00F27E51"/>
    <w:rsid w:val="00F469E2"/>
    <w:rsid w:val="00F543DB"/>
    <w:rsid w:val="073168E4"/>
    <w:rsid w:val="085F4B33"/>
    <w:rsid w:val="09CC636E"/>
    <w:rsid w:val="0C795B18"/>
    <w:rsid w:val="0D4175EB"/>
    <w:rsid w:val="0DFE400A"/>
    <w:rsid w:val="111A2AF6"/>
    <w:rsid w:val="15C5264A"/>
    <w:rsid w:val="1AFC7A33"/>
    <w:rsid w:val="1BC10207"/>
    <w:rsid w:val="278502E0"/>
    <w:rsid w:val="28AF46FE"/>
    <w:rsid w:val="2CB13CD4"/>
    <w:rsid w:val="313E688D"/>
    <w:rsid w:val="341D4F6C"/>
    <w:rsid w:val="34320259"/>
    <w:rsid w:val="381C1944"/>
    <w:rsid w:val="3AE8718F"/>
    <w:rsid w:val="3C08077B"/>
    <w:rsid w:val="3D557272"/>
    <w:rsid w:val="3F3B05CD"/>
    <w:rsid w:val="424429AE"/>
    <w:rsid w:val="42760D93"/>
    <w:rsid w:val="438B5933"/>
    <w:rsid w:val="45897467"/>
    <w:rsid w:val="46A6257A"/>
    <w:rsid w:val="481B32CA"/>
    <w:rsid w:val="4A3530BA"/>
    <w:rsid w:val="4DC350DF"/>
    <w:rsid w:val="4F072D89"/>
    <w:rsid w:val="50F408D1"/>
    <w:rsid w:val="53FD7AC6"/>
    <w:rsid w:val="547A0EBC"/>
    <w:rsid w:val="56EC6A65"/>
    <w:rsid w:val="577542CE"/>
    <w:rsid w:val="61691913"/>
    <w:rsid w:val="621F3AD9"/>
    <w:rsid w:val="65751BD6"/>
    <w:rsid w:val="665A483E"/>
    <w:rsid w:val="670B57C0"/>
    <w:rsid w:val="671F3B4E"/>
    <w:rsid w:val="67C24F32"/>
    <w:rsid w:val="67FD1009"/>
    <w:rsid w:val="694A4B21"/>
    <w:rsid w:val="695207A5"/>
    <w:rsid w:val="6ABA4003"/>
    <w:rsid w:val="6B4A7DF3"/>
    <w:rsid w:val="6F3F4D54"/>
    <w:rsid w:val="72B05516"/>
    <w:rsid w:val="735F00EB"/>
    <w:rsid w:val="737F5406"/>
    <w:rsid w:val="74F70E8F"/>
    <w:rsid w:val="7637172C"/>
    <w:rsid w:val="773E4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019D7"/>
  <w15:docId w15:val="{42955AEB-E04F-4212-9153-2CC9472E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pPr>
      <w:snapToGrid w:val="0"/>
      <w:jc w:val="left"/>
    </w:pPr>
    <w:rPr>
      <w:sz w:val="18"/>
    </w:rPr>
  </w:style>
  <w:style w:type="paragraph" w:styleId="ac">
    <w:name w:val="Normal (Web)"/>
    <w:basedOn w:val="a"/>
    <w:uiPriority w:val="99"/>
    <w:qFormat/>
    <w:pPr>
      <w:spacing w:beforeAutospacing="1" w:afterAutospacing="1"/>
      <w:jc w:val="left"/>
    </w:pPr>
    <w:rPr>
      <w:rFonts w:cs="Times New Roman"/>
      <w:kern w:val="0"/>
      <w:sz w:val="24"/>
    </w:rPr>
  </w:style>
  <w:style w:type="paragraph" w:styleId="ad">
    <w:name w:val="annotation subject"/>
    <w:basedOn w:val="a3"/>
    <w:next w:val="a3"/>
    <w:link w:val="ae"/>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paragraph" w:styleId="af2">
    <w:name w:val="List Paragraph"/>
    <w:basedOn w:val="a"/>
    <w:uiPriority w:val="99"/>
    <w:unhideWhenUsed/>
    <w:qFormat/>
    <w:pPr>
      <w:ind w:firstLineChars="200" w:firstLine="420"/>
    </w:pPr>
  </w:style>
  <w:style w:type="character" w:customStyle="1" w:styleId="a4">
    <w:name w:val="批注文字 字符"/>
    <w:basedOn w:val="a0"/>
    <w:link w:val="a3"/>
    <w:qFormat/>
    <w:rPr>
      <w:kern w:val="2"/>
      <w:sz w:val="21"/>
      <w:szCs w:val="22"/>
    </w:rPr>
  </w:style>
  <w:style w:type="character" w:customStyle="1" w:styleId="ae">
    <w:name w:val="批注主题 字符"/>
    <w:basedOn w:val="a4"/>
    <w:link w:val="ad"/>
    <w:qFormat/>
    <w:rPr>
      <w:b/>
      <w:bCs/>
      <w:kern w:val="2"/>
      <w:sz w:val="21"/>
      <w:szCs w:val="22"/>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uiPriority w:val="99"/>
    <w:rsid w:val="00E0070A"/>
    <w:rPr>
      <w:rFonts w:asciiTheme="minorHAnsi" w:eastAsiaTheme="minorEastAsia" w:hAnsiTheme="minorHAnsi" w:cstheme="minorBidi"/>
      <w:kern w:val="2"/>
      <w:sz w:val="18"/>
      <w:szCs w:val="22"/>
    </w:rPr>
  </w:style>
  <w:style w:type="character" w:customStyle="1" w:styleId="a8">
    <w:name w:val="页脚 字符"/>
    <w:basedOn w:val="a0"/>
    <w:link w:val="a7"/>
    <w:uiPriority w:val="99"/>
    <w:rsid w:val="00E0070A"/>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2018&#24037;&#20316;\&#39034;&#20041;&#33150;&#36864;&#22320;\&#39034;&#20041;&#33150;&#36864;&#22303;&#22320;&#21488;&#36134;&#32456;&#31295;201810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8&#24037;&#20316;\&#39034;&#20041;&#33150;&#36864;&#22320;\&#39034;&#20041;&#33150;&#36864;&#22303;&#22320;&#21488;&#36134;&#32456;&#31295;201810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8&#24037;&#20316;\&#39034;&#20041;&#33150;&#36864;&#22320;\&#39034;&#20041;&#33150;&#36864;&#22303;&#22320;&#21488;&#36134;&#32456;&#31295;201810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000" b="0"/>
              <a:t>单位：平方米</a:t>
            </a:r>
          </a:p>
        </c:rich>
      </c:tx>
      <c:layout>
        <c:manualLayout>
          <c:xMode val="edge"/>
          <c:yMode val="edge"/>
          <c:x val="2.5000000000000001E-2"/>
          <c:y val="4.4444444444444398E-2"/>
        </c:manualLayout>
      </c:layout>
      <c:overlay val="0"/>
      <c:spPr>
        <a:noFill/>
        <a:ln>
          <a:noFill/>
        </a:ln>
        <a:effectLst/>
      </c:spPr>
    </c:title>
    <c:autoTitleDeleted val="0"/>
    <c:plotArea>
      <c:layout/>
      <c:barChart>
        <c:barDir val="col"/>
        <c:grouping val="clustered"/>
        <c:varyColors val="0"/>
        <c:ser>
          <c:idx val="0"/>
          <c:order val="0"/>
          <c:tx>
            <c:strRef>
              <c:f>[顺义腾退土地台账终稿20181004.xlsx]新表!$D$11</c:f>
              <c:strCache>
                <c:ptCount val="1"/>
                <c:pt idx="0">
                  <c:v>总计</c:v>
                </c:pt>
              </c:strCache>
            </c:strRef>
          </c:tx>
          <c:spPr>
            <a:solidFill>
              <a:schemeClr val="accent1"/>
            </a:solidFill>
            <a:ln>
              <a:noFill/>
            </a:ln>
            <a:effectLst/>
          </c:spPr>
          <c:invertIfNegative val="0"/>
          <c:cat>
            <c:strRef>
              <c:f>[顺义腾退土地台账终稿20181004.xlsx]新表!$A$12:$A$17</c:f>
              <c:strCache>
                <c:ptCount val="6"/>
                <c:pt idx="0">
                  <c:v>城乡结合部整治改造</c:v>
                </c:pt>
                <c:pt idx="1">
                  <c:v>疏解提升市场</c:v>
                </c:pt>
                <c:pt idx="2">
                  <c:v>土地出租大院</c:v>
                </c:pt>
                <c:pt idx="3">
                  <c:v>棚户区改造</c:v>
                </c:pt>
                <c:pt idx="4">
                  <c:v>治理违法建设</c:v>
                </c:pt>
                <c:pt idx="5">
                  <c:v>疏解一般制造业和“散乱污”企业治理</c:v>
                </c:pt>
              </c:strCache>
            </c:strRef>
          </c:cat>
          <c:val>
            <c:numRef>
              <c:f>[顺义腾退土地台账终稿20181004.xlsx]新表!$D$12:$D$17</c:f>
              <c:numCache>
                <c:formatCode>General</c:formatCode>
                <c:ptCount val="6"/>
                <c:pt idx="0">
                  <c:v>108875.9</c:v>
                </c:pt>
                <c:pt idx="1">
                  <c:v>312873.98</c:v>
                </c:pt>
                <c:pt idx="2">
                  <c:v>392214.28</c:v>
                </c:pt>
                <c:pt idx="3">
                  <c:v>2518033.21</c:v>
                </c:pt>
                <c:pt idx="4">
                  <c:v>4553134.78</c:v>
                </c:pt>
                <c:pt idx="5">
                  <c:v>5654383.6569999997</c:v>
                </c:pt>
              </c:numCache>
            </c:numRef>
          </c:val>
          <c:extLst>
            <c:ext xmlns:c16="http://schemas.microsoft.com/office/drawing/2014/chart" uri="{C3380CC4-5D6E-409C-BE32-E72D297353CC}">
              <c16:uniqueId val="{00000000-90AD-43AA-A176-CB12F312BF9B}"/>
            </c:ext>
          </c:extLst>
        </c:ser>
        <c:dLbls>
          <c:showLegendKey val="0"/>
          <c:showVal val="0"/>
          <c:showCatName val="0"/>
          <c:showSerName val="0"/>
          <c:showPercent val="0"/>
          <c:showBubbleSize val="0"/>
        </c:dLbls>
        <c:gapWidth val="219"/>
        <c:overlap val="-27"/>
        <c:axId val="608721088"/>
        <c:axId val="608721648"/>
      </c:barChart>
      <c:catAx>
        <c:axId val="608721088"/>
        <c:scaling>
          <c:orientation val="minMax"/>
        </c:scaling>
        <c:delete val="0"/>
        <c:axPos val="b"/>
        <c:numFmt formatCode="General" sourceLinked="0"/>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8721648"/>
        <c:crosses val="autoZero"/>
        <c:auto val="1"/>
        <c:lblAlgn val="ctr"/>
        <c:lblOffset val="100"/>
        <c:noMultiLvlLbl val="0"/>
      </c:catAx>
      <c:valAx>
        <c:axId val="608721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872108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b="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900" b="1"/>
              <a:t>单位：平方米</a:t>
            </a:r>
          </a:p>
        </c:rich>
      </c:tx>
      <c:layout>
        <c:manualLayout>
          <c:xMode val="edge"/>
          <c:yMode val="edge"/>
          <c:x val="9.5683133066310593E-3"/>
          <c:y val="3.6682290605257802E-2"/>
        </c:manualLayout>
      </c:layout>
      <c:overlay val="0"/>
      <c:spPr>
        <a:noFill/>
        <a:ln>
          <a:noFill/>
        </a:ln>
        <a:effectLst/>
      </c:spPr>
    </c:title>
    <c:autoTitleDeleted val="0"/>
    <c:plotArea>
      <c:layout>
        <c:manualLayout>
          <c:layoutTarget val="inner"/>
          <c:xMode val="edge"/>
          <c:yMode val="edge"/>
          <c:x val="9.2634623943035205E-2"/>
          <c:y val="0.130833503158753"/>
          <c:w val="0.89490431686693395"/>
          <c:h val="0.5071122885673530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[顺义腾退土地台账终稿20181004.xlsx]新表!$A$24:$A$34</c:f>
              <c:strCache>
                <c:ptCount val="11"/>
                <c:pt idx="0">
                  <c:v>园地</c:v>
                </c:pt>
                <c:pt idx="1">
                  <c:v>草地</c:v>
                </c:pt>
                <c:pt idx="2">
                  <c:v>公共管理与公共服务用地</c:v>
                </c:pt>
                <c:pt idx="3">
                  <c:v>水域及水利设施用地</c:v>
                </c:pt>
                <c:pt idx="4">
                  <c:v>其他土地</c:v>
                </c:pt>
                <c:pt idx="5">
                  <c:v>林地</c:v>
                </c:pt>
                <c:pt idx="6">
                  <c:v>设施农用地</c:v>
                </c:pt>
                <c:pt idx="7">
                  <c:v>住宅用地</c:v>
                </c:pt>
                <c:pt idx="8">
                  <c:v>商服用地</c:v>
                </c:pt>
                <c:pt idx="9">
                  <c:v>耕地</c:v>
                </c:pt>
                <c:pt idx="10">
                  <c:v>工矿仓储用地</c:v>
                </c:pt>
              </c:strCache>
            </c:strRef>
          </c:cat>
          <c:val>
            <c:numRef>
              <c:f>[顺义腾退土地台账终稿20181004.xlsx]新表!$B$24:$B$34</c:f>
              <c:numCache>
                <c:formatCode>General</c:formatCode>
                <c:ptCount val="11"/>
                <c:pt idx="0">
                  <c:v>528.54</c:v>
                </c:pt>
                <c:pt idx="1">
                  <c:v>1172.04</c:v>
                </c:pt>
                <c:pt idx="2">
                  <c:v>11813.63</c:v>
                </c:pt>
                <c:pt idx="3">
                  <c:v>55512.68</c:v>
                </c:pt>
                <c:pt idx="4">
                  <c:v>58069.59</c:v>
                </c:pt>
                <c:pt idx="5">
                  <c:v>59279.49</c:v>
                </c:pt>
                <c:pt idx="6">
                  <c:v>192597.82</c:v>
                </c:pt>
                <c:pt idx="7">
                  <c:v>964007.35</c:v>
                </c:pt>
                <c:pt idx="8">
                  <c:v>2196600.09</c:v>
                </c:pt>
                <c:pt idx="9">
                  <c:v>3110699.7510000002</c:v>
                </c:pt>
                <c:pt idx="10">
                  <c:v>4989808.3364800001</c:v>
                </c:pt>
              </c:numCache>
            </c:numRef>
          </c:val>
          <c:extLst>
            <c:ext xmlns:c16="http://schemas.microsoft.com/office/drawing/2014/chart" uri="{C3380CC4-5D6E-409C-BE32-E72D297353CC}">
              <c16:uniqueId val="{00000000-FA84-404E-9872-19CC36CFBF95}"/>
            </c:ext>
          </c:extLst>
        </c:ser>
        <c:dLbls>
          <c:showLegendKey val="0"/>
          <c:showVal val="1"/>
          <c:showCatName val="0"/>
          <c:showSerName val="0"/>
          <c:showPercent val="0"/>
          <c:showBubbleSize val="0"/>
        </c:dLbls>
        <c:gapWidth val="219"/>
        <c:overlap val="-27"/>
        <c:axId val="608723888"/>
        <c:axId val="608724448"/>
      </c:barChart>
      <c:catAx>
        <c:axId val="608723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8724448"/>
        <c:crosses val="autoZero"/>
        <c:auto val="1"/>
        <c:lblAlgn val="ctr"/>
        <c:lblOffset val="100"/>
        <c:noMultiLvlLbl val="0"/>
      </c:catAx>
      <c:valAx>
        <c:axId val="608724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872388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900" b="1"/>
              <a:t>单位：平方米</a:t>
            </a:r>
          </a:p>
        </c:rich>
      </c:tx>
      <c:layout>
        <c:manualLayout>
          <c:xMode val="edge"/>
          <c:yMode val="edge"/>
          <c:x val="1.1757021554539501E-2"/>
          <c:y val="3.8405586267093401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[顺义腾退土地台账终稿20181004.xlsx]汇总加图!$B$76:$B$103</c:f>
              <c:strCache>
                <c:ptCount val="28"/>
                <c:pt idx="0">
                  <c:v>旺泉街道</c:v>
                </c:pt>
                <c:pt idx="1">
                  <c:v>绿色生态产业功能区管委会</c:v>
                </c:pt>
                <c:pt idx="2">
                  <c:v>双丰街道</c:v>
                </c:pt>
                <c:pt idx="3">
                  <c:v>光明街道</c:v>
                </c:pt>
                <c:pt idx="4">
                  <c:v>空港街道</c:v>
                </c:pt>
                <c:pt idx="5">
                  <c:v>石园街道</c:v>
                </c:pt>
                <c:pt idx="6">
                  <c:v>胜利街道</c:v>
                </c:pt>
                <c:pt idx="7">
                  <c:v>北务镇</c:v>
                </c:pt>
                <c:pt idx="8">
                  <c:v>中关村顺义园</c:v>
                </c:pt>
                <c:pt idx="9">
                  <c:v>南法信镇</c:v>
                </c:pt>
                <c:pt idx="10">
                  <c:v>龙湾屯镇</c:v>
                </c:pt>
                <c:pt idx="11">
                  <c:v>临空经济核心区</c:v>
                </c:pt>
                <c:pt idx="12">
                  <c:v>木林镇</c:v>
                </c:pt>
                <c:pt idx="13">
                  <c:v>张镇</c:v>
                </c:pt>
                <c:pt idx="14">
                  <c:v>后沙峪镇</c:v>
                </c:pt>
                <c:pt idx="15">
                  <c:v>北石槽镇</c:v>
                </c:pt>
                <c:pt idx="16">
                  <c:v>大孙各庄镇</c:v>
                </c:pt>
                <c:pt idx="17">
                  <c:v>高丽营镇</c:v>
                </c:pt>
                <c:pt idx="18">
                  <c:v>赵全营镇</c:v>
                </c:pt>
                <c:pt idx="19">
                  <c:v>李遂镇</c:v>
                </c:pt>
                <c:pt idx="20">
                  <c:v>南彩镇</c:v>
                </c:pt>
                <c:pt idx="21">
                  <c:v>天竺镇</c:v>
                </c:pt>
                <c:pt idx="22">
                  <c:v>北小营镇</c:v>
                </c:pt>
                <c:pt idx="23">
                  <c:v>李桥镇</c:v>
                </c:pt>
                <c:pt idx="24">
                  <c:v>马坡镇</c:v>
                </c:pt>
                <c:pt idx="25">
                  <c:v>牛栏山镇</c:v>
                </c:pt>
                <c:pt idx="26">
                  <c:v>杨镇</c:v>
                </c:pt>
                <c:pt idx="27">
                  <c:v>仁和镇</c:v>
                </c:pt>
              </c:strCache>
            </c:strRef>
          </c:cat>
          <c:val>
            <c:numRef>
              <c:f>[顺义腾退土地台账终稿20181004.xlsx]汇总加图!$C$76:$C$103</c:f>
              <c:numCache>
                <c:formatCode>General</c:formatCode>
                <c:ptCount val="28"/>
                <c:pt idx="0">
                  <c:v>206.57</c:v>
                </c:pt>
                <c:pt idx="1">
                  <c:v>3933.3294000000001</c:v>
                </c:pt>
                <c:pt idx="2">
                  <c:v>6500.95</c:v>
                </c:pt>
                <c:pt idx="3">
                  <c:v>7358.8</c:v>
                </c:pt>
                <c:pt idx="4">
                  <c:v>59756.800000000003</c:v>
                </c:pt>
                <c:pt idx="5">
                  <c:v>91465.652000000002</c:v>
                </c:pt>
                <c:pt idx="6">
                  <c:v>108385.42479999999</c:v>
                </c:pt>
                <c:pt idx="7">
                  <c:v>108543.992</c:v>
                </c:pt>
                <c:pt idx="8">
                  <c:v>110025.4816</c:v>
                </c:pt>
                <c:pt idx="9">
                  <c:v>125920.946</c:v>
                </c:pt>
                <c:pt idx="10">
                  <c:v>176620.34179999999</c:v>
                </c:pt>
                <c:pt idx="11">
                  <c:v>179199</c:v>
                </c:pt>
                <c:pt idx="12">
                  <c:v>235134.24</c:v>
                </c:pt>
                <c:pt idx="13">
                  <c:v>240967.46</c:v>
                </c:pt>
                <c:pt idx="14">
                  <c:v>366954</c:v>
                </c:pt>
                <c:pt idx="15">
                  <c:v>410054.951</c:v>
                </c:pt>
                <c:pt idx="16">
                  <c:v>455383.51636000001</c:v>
                </c:pt>
                <c:pt idx="17">
                  <c:v>467006.21</c:v>
                </c:pt>
                <c:pt idx="18">
                  <c:v>513068.68859999999</c:v>
                </c:pt>
                <c:pt idx="19">
                  <c:v>648268.86199999996</c:v>
                </c:pt>
                <c:pt idx="20">
                  <c:v>769166.30232000002</c:v>
                </c:pt>
                <c:pt idx="21">
                  <c:v>800263.92</c:v>
                </c:pt>
                <c:pt idx="22">
                  <c:v>845236.35479999997</c:v>
                </c:pt>
                <c:pt idx="23">
                  <c:v>1104749.2257999999</c:v>
                </c:pt>
                <c:pt idx="24">
                  <c:v>1113416.8432</c:v>
                </c:pt>
                <c:pt idx="25">
                  <c:v>1122768.7804</c:v>
                </c:pt>
                <c:pt idx="26">
                  <c:v>1421904.7871999999</c:v>
                </c:pt>
                <c:pt idx="27">
                  <c:v>1443051.612</c:v>
                </c:pt>
              </c:numCache>
            </c:numRef>
          </c:val>
          <c:extLst>
            <c:ext xmlns:c16="http://schemas.microsoft.com/office/drawing/2014/chart" uri="{C3380CC4-5D6E-409C-BE32-E72D297353CC}">
              <c16:uniqueId val="{00000000-0A3E-427F-B4CB-E588E939E851}"/>
            </c:ext>
          </c:extLst>
        </c:ser>
        <c:dLbls>
          <c:showLegendKey val="0"/>
          <c:showVal val="0"/>
          <c:showCatName val="0"/>
          <c:showSerName val="0"/>
          <c:showPercent val="0"/>
          <c:showBubbleSize val="0"/>
        </c:dLbls>
        <c:gapWidth val="219"/>
        <c:overlap val="-27"/>
        <c:axId val="743282256"/>
        <c:axId val="743282816"/>
      </c:barChart>
      <c:catAx>
        <c:axId val="743282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43282816"/>
        <c:crosses val="autoZero"/>
        <c:auto val="1"/>
        <c:lblAlgn val="ctr"/>
        <c:lblOffset val="100"/>
        <c:noMultiLvlLbl val="0"/>
      </c:catAx>
      <c:valAx>
        <c:axId val="743282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43282256"/>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ZW</cp:lastModifiedBy>
  <cp:revision>3</cp:revision>
  <cp:lastPrinted>2019-04-25T00:35:00Z</cp:lastPrinted>
  <dcterms:created xsi:type="dcterms:W3CDTF">2019-06-24T06:53:00Z</dcterms:created>
  <dcterms:modified xsi:type="dcterms:W3CDTF">2019-06-24T06:54:00Z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